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3010E">
      <w:pPr>
        <w:spacing w:before="40"/>
        <w:rPr>
          <w:rFonts w:hint="eastAsia"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3GPP TSG-RAN WG2 Meeting #132</w:t>
      </w:r>
      <w:r>
        <w:rPr>
          <w:rFonts w:hint="eastAsia" w:ascii="Arial" w:hAnsi="Arial" w:eastAsia="MS Mincho" w:cs="Times New Roman"/>
          <w:b/>
          <w:sz w:val="24"/>
          <w:szCs w:val="24"/>
          <w:lang w:val="en-US" w:eastAsia="zh-CN" w:bidi="ar-SA"/>
        </w:rPr>
        <w:tab/>
      </w:r>
      <w:r>
        <w:rPr>
          <w:rFonts w:hint="eastAsia" w:ascii="Arial" w:hAnsi="Arial" w:eastAsia="MS Mincho" w:cs="Times New Roman"/>
          <w:b/>
          <w:sz w:val="24"/>
          <w:szCs w:val="24"/>
          <w:lang w:val="en-US" w:eastAsia="zh-CN" w:bidi="ar-SA"/>
        </w:rPr>
        <w:t xml:space="preserve">                                  R2-2508175</w:t>
      </w:r>
    </w:p>
    <w:p w14:paraId="2F9B299E">
      <w:pPr>
        <w:spacing w:before="40"/>
        <w:rPr>
          <w:rFonts w:hint="eastAsia" w:ascii="Arial" w:hAnsi="Arial" w:eastAsia="MS Mincho" w:cs="Times New Roman"/>
          <w:b/>
          <w:sz w:val="24"/>
          <w:szCs w:val="24"/>
          <w:lang w:val="en-US" w:eastAsia="zh-CN" w:bidi="ar-SA"/>
        </w:rPr>
      </w:pPr>
      <w:r>
        <w:rPr>
          <w:rFonts w:hint="eastAsia" w:ascii="Arial" w:hAnsi="Arial" w:eastAsia="MS Mincho" w:cs="Times New Roman"/>
          <w:b/>
          <w:sz w:val="24"/>
          <w:szCs w:val="24"/>
          <w:lang w:val="en-US" w:eastAsia="zh-CN" w:bidi="ar-SA"/>
        </w:rPr>
        <w:t>Dallas, USA,  Nov. 17th - 21</w:t>
      </w:r>
      <w:r>
        <w:rPr>
          <w:rFonts w:hint="eastAsia" w:ascii="Arial" w:hAnsi="Arial" w:eastAsia="MS Mincho" w:cs="Times New Roman"/>
          <w:b/>
          <w:sz w:val="24"/>
          <w:szCs w:val="24"/>
          <w:vertAlign w:val="superscript"/>
          <w:lang w:val="en-US" w:eastAsia="zh-CN" w:bidi="ar-SA"/>
        </w:rPr>
        <w:t>st</w:t>
      </w:r>
    </w:p>
    <w:p w14:paraId="58A2E9DA">
      <w:pPr>
        <w:spacing w:before="40"/>
        <w:rPr>
          <w:rFonts w:hint="eastAsia" w:ascii="Arial" w:hAnsi="Arial" w:eastAsia="MS Mincho" w:cs="Times New Roman"/>
          <w:b/>
          <w:sz w:val="24"/>
          <w:szCs w:val="24"/>
          <w:lang w:val="en-US" w:eastAsia="en-GB" w:bidi="ar-SA"/>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1C7CFB6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Title:</w:t>
      </w:r>
      <w:r>
        <w:rPr>
          <w:rFonts w:ascii="Times New Roman" w:hAnsi="Times New Roman" w:cs="Times New Roman"/>
          <w:b/>
          <w:sz w:val="24"/>
          <w:szCs w:val="24"/>
        </w:rPr>
        <w:tab/>
      </w:r>
      <w:bookmarkStart w:id="8" w:name="_GoBack"/>
      <w:r>
        <w:rPr>
          <w:rFonts w:hint="eastAsia" w:ascii="Times New Roman" w:hAnsi="Times New Roman" w:cs="Times New Roman"/>
          <w:b/>
          <w:sz w:val="24"/>
          <w:szCs w:val="24"/>
          <w:lang w:val="en-US" w:eastAsia="zh-CN"/>
        </w:rPr>
        <w:t>Discussion on the modular design of RRC for 6GR</w:t>
      </w:r>
      <w:bookmarkEnd w:id="8"/>
    </w:p>
    <w:p w14:paraId="23FF9ADD">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lang w:val="en-US" w:eastAsia="zh-CN"/>
        </w:rPr>
        <w:t>10.3.2.2</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According to the RAN</w:t>
      </w:r>
      <w:r>
        <w:rPr>
          <w:rFonts w:hint="eastAsia" w:ascii="Times New Roman" w:hAnsi="Times New Roman"/>
          <w:sz w:val="20"/>
          <w:szCs w:val="20"/>
          <w:lang w:val="en-US" w:eastAsia="zh-CN"/>
        </w:rPr>
        <w:t>2</w:t>
      </w:r>
      <w:r>
        <w:rPr>
          <w:rFonts w:hint="default" w:ascii="Times New Roman" w:hAnsi="Times New Roman"/>
          <w:sz w:val="20"/>
          <w:szCs w:val="20"/>
          <w:lang w:eastAsia="zh-CN"/>
        </w:rPr>
        <w:t xml:space="preserve"> </w:t>
      </w:r>
      <w:r>
        <w:rPr>
          <w:rFonts w:hint="eastAsia" w:ascii="Times New Roman" w:hAnsi="Times New Roman"/>
          <w:sz w:val="20"/>
          <w:szCs w:val="20"/>
          <w:lang w:val="en-US" w:eastAsia="zh-CN"/>
        </w:rPr>
        <w:t>#</w:t>
      </w:r>
      <w:r>
        <w:rPr>
          <w:rFonts w:hint="default" w:ascii="Times New Roman" w:hAnsi="Times New Roman"/>
          <w:sz w:val="20"/>
          <w:szCs w:val="20"/>
          <w:lang w:val="en-US" w:eastAsia="zh-CN"/>
        </w:rPr>
        <w:t>131bis</w:t>
      </w:r>
      <w:r>
        <w:rPr>
          <w:rFonts w:hint="eastAsia" w:ascii="Times New Roman" w:hAnsi="Times New Roman"/>
          <w:sz w:val="20"/>
          <w:szCs w:val="20"/>
          <w:lang w:val="en-US" w:eastAsia="zh-CN"/>
        </w:rPr>
        <w:t xml:space="preserve"> </w:t>
      </w:r>
      <w:r>
        <w:rPr>
          <w:rFonts w:hint="default" w:ascii="Times New Roman" w:hAnsi="Times New Roman"/>
          <w:sz w:val="20"/>
          <w:szCs w:val="20"/>
          <w:lang w:eastAsia="zh-CN"/>
        </w:rPr>
        <w:t xml:space="preserve">Meeting </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agreements on RRC</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35194F60">
      <w:pPr>
        <w:numPr>
          <w:ilvl w:val="0"/>
          <w:numId w:val="0"/>
        </w:numPr>
        <w:ind w:leftChars="0"/>
        <w:jc w:val="both"/>
        <w:rPr>
          <w:rFonts w:hint="eastAsia" w:ascii="Times New Roman" w:hAnsi="Times New Roman"/>
          <w:sz w:val="20"/>
          <w:szCs w:val="20"/>
          <w:lang w:val="en-US" w:eastAsia="zh-CN"/>
        </w:rPr>
      </w:pPr>
    </w:p>
    <w:p w14:paraId="718577D8">
      <w:pPr>
        <w:pStyle w:val="4"/>
        <w:pBdr>
          <w:top w:val="single" w:color="auto" w:sz="4" w:space="1"/>
          <w:left w:val="single" w:color="auto" w:sz="4" w:space="4"/>
          <w:bottom w:val="single" w:color="auto" w:sz="4" w:space="1"/>
          <w:right w:val="single" w:color="auto" w:sz="4" w:space="4"/>
        </w:pBdr>
        <w:rPr>
          <w:b/>
          <w:bCs/>
        </w:rPr>
      </w:pPr>
      <w:r>
        <w:rPr>
          <w:b/>
          <w:bCs/>
        </w:rPr>
        <w:t xml:space="preserve">Agreements </w:t>
      </w:r>
    </w:p>
    <w:p w14:paraId="16B08A7A">
      <w:pPr>
        <w:pStyle w:val="4"/>
        <w:numPr>
          <w:ilvl w:val="1"/>
          <w:numId w:val="4"/>
        </w:numPr>
        <w:pBdr>
          <w:top w:val="single" w:color="auto" w:sz="4" w:space="1"/>
          <w:left w:val="single" w:color="auto" w:sz="4" w:space="4"/>
          <w:bottom w:val="single" w:color="auto" w:sz="4" w:space="1"/>
          <w:right w:val="single" w:color="auto" w:sz="4" w:space="4"/>
        </w:pBdr>
        <w:tabs>
          <w:tab w:val="left" w:pos="1619"/>
          <w:tab w:val="clear" w:pos="1622"/>
        </w:tabs>
        <w:ind w:left="1619"/>
        <w:rPr>
          <w:highlight w:val="none"/>
        </w:rPr>
      </w:pPr>
      <w:r>
        <w:rPr>
          <w:highlight w:val="none"/>
        </w:rPr>
        <w:t xml:space="preserve">ASN.1 is used for encoding of RRC signaling for 6G air interface (same as NR). </w:t>
      </w:r>
    </w:p>
    <w:p w14:paraId="1E765D6E">
      <w:pPr>
        <w:pStyle w:val="4"/>
        <w:numPr>
          <w:ilvl w:val="1"/>
          <w:numId w:val="4"/>
        </w:numPr>
        <w:pBdr>
          <w:top w:val="single" w:color="auto" w:sz="4" w:space="1"/>
          <w:left w:val="single" w:color="auto" w:sz="4" w:space="4"/>
          <w:bottom w:val="single" w:color="auto" w:sz="4" w:space="1"/>
          <w:right w:val="single" w:color="auto" w:sz="4" w:space="4"/>
        </w:pBdr>
        <w:tabs>
          <w:tab w:val="left" w:pos="1619"/>
          <w:tab w:val="clear" w:pos="1622"/>
        </w:tabs>
        <w:ind w:left="1619"/>
        <w:rPr>
          <w:highlight w:val="none"/>
        </w:rPr>
      </w:pPr>
      <w:r>
        <w:rPr>
          <w:highlight w:val="none"/>
        </w:rPr>
        <w:t>Study overall RRC structure, configuration improvements, improve readability of ASN.1 for RRC signalling</w:t>
      </w:r>
    </w:p>
    <w:p w14:paraId="142FC285">
      <w:pPr>
        <w:pStyle w:val="4"/>
        <w:numPr>
          <w:ilvl w:val="1"/>
          <w:numId w:val="4"/>
        </w:numPr>
        <w:pBdr>
          <w:top w:val="single" w:color="auto" w:sz="4" w:space="1"/>
          <w:left w:val="single" w:color="auto" w:sz="4" w:space="4"/>
          <w:bottom w:val="single" w:color="auto" w:sz="4" w:space="1"/>
          <w:right w:val="single" w:color="auto" w:sz="4" w:space="4"/>
        </w:pBdr>
        <w:tabs>
          <w:tab w:val="left" w:pos="1619"/>
          <w:tab w:val="clear" w:pos="1622"/>
        </w:tabs>
        <w:ind w:left="1619"/>
        <w:rPr>
          <w:highlight w:val="none"/>
        </w:rPr>
      </w:pPr>
      <w:r>
        <w:rPr>
          <w:highlight w:val="none"/>
        </w:rPr>
        <w:t xml:space="preserve">Study how to efficiently, reliably and unambiguously configure UEs while keeping signalling size small (e.g. improvements to delta signaling or no delta signaling).  </w:t>
      </w:r>
    </w:p>
    <w:p w14:paraId="6BAE47AA">
      <w:pPr>
        <w:pStyle w:val="4"/>
        <w:numPr>
          <w:ilvl w:val="1"/>
          <w:numId w:val="4"/>
        </w:numPr>
        <w:pBdr>
          <w:top w:val="single" w:color="auto" w:sz="4" w:space="1"/>
          <w:left w:val="single" w:color="auto" w:sz="4" w:space="4"/>
          <w:bottom w:val="single" w:color="auto" w:sz="4" w:space="1"/>
          <w:right w:val="single" w:color="auto" w:sz="4" w:space="4"/>
        </w:pBdr>
        <w:tabs>
          <w:tab w:val="left" w:pos="1619"/>
          <w:tab w:val="clear" w:pos="1622"/>
        </w:tabs>
        <w:ind w:left="1619"/>
        <w:rPr>
          <w:highlight w:val="none"/>
        </w:rPr>
      </w:pPr>
      <w:r>
        <w:rPr>
          <w:highlight w:val="none"/>
        </w:rPr>
        <w:t xml:space="preserve">RAN2 will study modular design of RRC for 6G.  Further study how to modularize RRC e.g. based on features, functions, verticals, etc. </w:t>
      </w:r>
    </w:p>
    <w:p w14:paraId="4D3B5890">
      <w:pPr>
        <w:widowControl w:val="0"/>
        <w:numPr>
          <w:ilvl w:val="0"/>
          <w:numId w:val="0"/>
        </w:numPr>
        <w:bidi w:val="0"/>
        <w:jc w:val="both"/>
        <w:rPr>
          <w:rFonts w:hint="default" w:ascii="Times New Roman Regular" w:hAnsi="Times New Roman Regular" w:cs="Times New Roman Regular"/>
          <w:szCs w:val="21"/>
        </w:rPr>
      </w:pPr>
    </w:p>
    <w:p w14:paraId="7FA58933">
      <w:pPr>
        <w:widowControl/>
        <w:overflowPunct w:val="0"/>
        <w:autoSpaceDE w:val="0"/>
        <w:autoSpaceDN w:val="0"/>
        <w:adjustRightInd w:val="0"/>
        <w:spacing w:after="180"/>
        <w:jc w:val="both"/>
        <w:textAlignment w:val="baseline"/>
        <w:rPr>
          <w:rFonts w:hint="default" w:ascii="Times New Roman" w:hAnsi="Times New Roman" w:cs="Times New Roman"/>
          <w:lang w:val="en-US" w:eastAsia="zh-CN"/>
        </w:rPr>
      </w:pPr>
      <w:r>
        <w:rPr>
          <w:rFonts w:hint="eastAsia" w:ascii="Times New Roman" w:hAnsi="Times New Roman" w:cs="Times New Roman"/>
          <w:lang w:val="en-US" w:eastAsia="zh-CN"/>
        </w:rPr>
        <w:t>In this contribution, we aim to discuss modular design of RRC for 6GR</w:t>
      </w:r>
      <w:r>
        <w:rPr>
          <w:rFonts w:hint="default" w:ascii="Times New Roman" w:hAnsi="Times New Roman" w:cs="Times New Roman"/>
          <w:lang w:val="en-US" w:eastAsia="zh-CN"/>
        </w:rPr>
        <w:t>.</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4F2A5F59">
      <w:pPr>
        <w:pStyle w:val="5"/>
        <w:numPr>
          <w:ilvl w:val="1"/>
          <w:numId w:val="3"/>
        </w:numPr>
        <w:bidi w:val="0"/>
        <w:ind w:left="830" w:leftChars="0" w:hanging="405" w:firstLineChars="0"/>
        <w:rPr>
          <w:rFonts w:hint="default" w:ascii="Times New Roman Bold" w:hAnsi="Times New Roman Bold" w:cs="Times New Roman Bold"/>
          <w:b w:val="0"/>
          <w:bCs w:val="0"/>
          <w:sz w:val="22"/>
          <w:szCs w:val="44"/>
          <w:lang w:val="en-US" w:eastAsia="zh-CN"/>
        </w:rPr>
      </w:pPr>
      <w:r>
        <w:rPr>
          <w:rFonts w:hint="eastAsia" w:ascii="Times New Roman Bold" w:hAnsi="Times New Roman Bold" w:cs="Times New Roman Bold"/>
          <w:b/>
          <w:bCs/>
          <w:sz w:val="22"/>
          <w:szCs w:val="44"/>
          <w:lang w:val="en-US" w:eastAsia="zh-CN"/>
        </w:rPr>
        <w:t xml:space="preserve"> </w:t>
      </w:r>
      <w:r>
        <w:rPr>
          <w:rFonts w:hint="default" w:ascii="Times New Roman Bold" w:hAnsi="Times New Roman Bold" w:cs="Times New Roman Bold"/>
          <w:b/>
          <w:bCs/>
          <w:sz w:val="22"/>
          <w:szCs w:val="44"/>
          <w:lang w:val="en-US" w:eastAsia="zh-CN"/>
        </w:rPr>
        <w:t>Issues with Current (NR) RRC Configuration Approach</w:t>
      </w:r>
    </w:p>
    <w:p w14:paraId="667A44FB">
      <w:pPr>
        <w:pStyle w:val="6"/>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xml:space="preserve">The UE configuration structure carried by 5G NR RRC signaling has become extremely complex with the superposition of new features across various releases. Compared with the initial design in Rel-15, subsequent features such as Bandwidth Part (BWP), Supplementary Uplink (SUL), multi-TRP, unified TCI framework, and RedCap reduced-capability UEs have been continuously incorporated. This has turned the originally clear hierarchical structure into a complicated and incomprehensible one. </w:t>
      </w:r>
    </w:p>
    <w:p w14:paraId="311CDFD2">
      <w:pPr>
        <w:pStyle w:val="6"/>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xml:space="preserve">While every new feature attempted to accommodate the existing structure as much as possible during its introduction, there is no denying that the initial clarity of NR RRC configuration has long ceased to exist. Phenomena such as highly nested configuration hierarchies, multiple conditional cross-references, and a large number of shared and overloaded information elements are widespread. </w:t>
      </w:r>
    </w:p>
    <w:p w14:paraId="09191DD9">
      <w:pPr>
        <w:pStyle w:val="6"/>
        <w:rPr>
          <w:rFonts w:hint="default" w:ascii="Times New Roman" w:hAnsi="Times New Roman" w:cs="Times New Roman"/>
          <w:b w:val="0"/>
          <w:bCs w:val="0"/>
          <w:sz w:val="22"/>
          <w:szCs w:val="44"/>
          <w:lang w:val="en-US" w:eastAsia="zh-CN"/>
        </w:rPr>
      </w:pPr>
      <w:r>
        <w:rPr>
          <w:rFonts w:hint="default" w:ascii="Times New Roman" w:hAnsi="Times New Roman" w:cs="Times New Roman"/>
          <w:b w:val="0"/>
          <w:bCs w:val="0"/>
          <w:sz w:val="22"/>
          <w:szCs w:val="44"/>
          <w:lang w:val="en-US" w:eastAsia="zh-CN"/>
        </w:rPr>
        <w:t xml:space="preserve">This complexity directly forces UE and network vendors to invest additional workload in all phases of implementation and testing. In particular, it becomes easier to introduce errors when adding new features, resulting in high maintenance costs. The UE configuration structure of 5G RRC has become overly complex due to the continuous addition of functions. If the same approach is followed for 6G, the complexity will only increase further. Therefore, it is necessary to focus on simplifying and reconstructing the UE configuration structure from the very beginning of 6G research. </w:t>
      </w:r>
    </w:p>
    <w:p w14:paraId="5E2A2E9D">
      <w:pPr>
        <w:pStyle w:val="6"/>
        <w:rPr>
          <w:rFonts w:hint="default" w:ascii="Times New Roman Bold" w:hAnsi="Times New Roman Bold" w:cs="Times New Roman Bold"/>
          <w:b w:val="0"/>
          <w:bCs w:val="0"/>
          <w:sz w:val="22"/>
          <w:szCs w:val="44"/>
          <w:lang w:val="en-US" w:eastAsia="zh-CN"/>
        </w:rPr>
      </w:pPr>
      <w:r>
        <w:rPr>
          <w:rFonts w:hint="eastAsia" w:ascii="Times New Roman Bold" w:hAnsi="Times New Roman Bold" w:cs="Times New Roman Bold"/>
          <w:b w:val="0"/>
          <w:bCs w:val="0"/>
          <w:sz w:val="22"/>
          <w:szCs w:val="44"/>
          <w:lang w:val="en-US" w:eastAsia="zh-CN"/>
        </w:rPr>
        <w:t xml:space="preserve">Observation 1: </w:t>
      </w:r>
      <w:r>
        <w:rPr>
          <w:rFonts w:hint="default" w:ascii="Times New Roman Bold" w:hAnsi="Times New Roman Bold" w:cs="Times New Roman Bold"/>
          <w:b w:val="0"/>
          <w:bCs w:val="0"/>
          <w:sz w:val="22"/>
          <w:szCs w:val="44"/>
          <w:lang w:val="en-US" w:eastAsia="zh-CN"/>
        </w:rPr>
        <w:t>5G NR RRC UE configuration has grown overly complex with post-Rel-15 features (e.g., BWP, SUL), so 6G must simplify and restructure it from the start of research</w:t>
      </w:r>
      <w:r>
        <w:rPr>
          <w:rFonts w:hint="eastAsia" w:ascii="Times New Roman Bold" w:hAnsi="Times New Roman Bold" w:cs="Times New Roman Bold"/>
          <w:b w:val="0"/>
          <w:bCs w:val="0"/>
          <w:sz w:val="22"/>
          <w:szCs w:val="44"/>
          <w:lang w:val="en-US" w:eastAsia="zh-CN"/>
        </w:rPr>
        <w:t>.</w:t>
      </w:r>
    </w:p>
    <w:p w14:paraId="3F36D858">
      <w:pPr>
        <w:pStyle w:val="62"/>
        <w:rPr>
          <w:rFonts w:hint="default" w:ascii="Times New Roman Regular" w:hAnsi="Times New Roman Regular" w:cs="Times New Roman Regular" w:eastAsiaTheme="minorEastAsia"/>
          <w:kern w:val="2"/>
          <w:sz w:val="21"/>
          <w:szCs w:val="21"/>
          <w:lang w:val="en-US" w:eastAsia="zh-CN" w:bidi="ar-SA"/>
        </w:rPr>
      </w:pPr>
      <w:bookmarkStart w:id="1" w:name="Xbd39f3ce9e5fbc82cebd89db80c99778da15334"/>
      <w:bookmarkStart w:id="2" w:name="discussion"/>
      <w:bookmarkStart w:id="3" w:name="X446dea9ee06135c1ccb9a6ed44df566cd5b2e0e"/>
      <w:r>
        <w:rPr>
          <w:rFonts w:hint="default" w:ascii="Times New Roman Regular" w:hAnsi="Times New Roman Regular" w:cs="Times New Roman Regular" w:eastAsiaTheme="minorEastAsia"/>
          <w:kern w:val="2"/>
          <w:sz w:val="21"/>
          <w:szCs w:val="21"/>
          <w:lang w:val="en-US" w:eastAsia="zh-CN" w:bidi="ar-SA"/>
        </w:rPr>
        <w:t>In NR, the network sends a complete UE configuration upon connection setup or reconfiguration</w:t>
      </w:r>
      <w:r>
        <w:rPr>
          <w:rFonts w:hint="eastAsia" w:ascii="Times New Roman Regular" w:hAnsi="Times New Roman Regular" w:cs="Times New Roman Regular"/>
          <w:kern w:val="2"/>
          <w:sz w:val="21"/>
          <w:szCs w:val="21"/>
          <w:lang w:val="en-US" w:eastAsia="zh-CN" w:bidi="ar-SA"/>
        </w:rPr>
        <w:t>.</w:t>
      </w:r>
      <w:r>
        <w:rPr>
          <w:rFonts w:hint="default" w:ascii="Times New Roman Regular" w:hAnsi="Times New Roman Regular" w:cs="Times New Roman Regular" w:eastAsiaTheme="minorEastAsia"/>
          <w:kern w:val="2"/>
          <w:sz w:val="21"/>
          <w:szCs w:val="21"/>
          <w:lang w:val="en-US" w:eastAsia="zh-CN" w:bidi="ar-SA"/>
        </w:rPr>
        <w:t xml:space="preserve"> Delta signaling is done implicitly by excluding unchanged fields (which remain understood by the UE). This design has led to several problems:</w:t>
      </w:r>
    </w:p>
    <w:p w14:paraId="2B89E3D4">
      <w:pPr>
        <w:pStyle w:val="62"/>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eastAsiaTheme="minorEastAsia"/>
          <w:kern w:val="2"/>
          <w:sz w:val="21"/>
          <w:szCs w:val="21"/>
          <w:lang w:val="en-US" w:eastAsia="zh-CN" w:bidi="ar-SA"/>
        </w:rPr>
        <w:t xml:space="preserve"> - Large messages and redundancy: As more features (bandwidth parts, carrier aggregation, etc.) were added, RRC Reconfiguration messages became very large. Most of the configuration content, however, is often identical for UEs with similar capabilities in the same scenario. Carrying these identical parameters for every UE wastes radio resources and processing time.</w:t>
      </w:r>
    </w:p>
    <w:p w14:paraId="267C4AB4">
      <w:pPr>
        <w:pStyle w:val="62"/>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eastAsiaTheme="minorEastAsia"/>
          <w:kern w:val="2"/>
          <w:sz w:val="21"/>
          <w:szCs w:val="21"/>
          <w:lang w:val="en-US" w:eastAsia="zh-CN" w:bidi="ar-SA"/>
        </w:rPr>
        <w:t xml:space="preserve"> - Delta ambiguity: The implicit delta mechanism using optional fields introduces ambiguity – the absence of a field can mean "no change" or "not configured", leading to potential misinterpretation. Network implementation guidelines are given in spec text, but UEs must handle even theoretically "should-not-occur" combinations to be safe. This has resulted in interoperability issues and significant UE implementation complexity to cover corner cases. </w:t>
      </w:r>
    </w:p>
    <w:p w14:paraId="64E74689">
      <w:pPr>
        <w:pStyle w:val="62"/>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eastAsiaTheme="minorEastAsia"/>
          <w:kern w:val="2"/>
          <w:sz w:val="21"/>
          <w:szCs w:val="21"/>
          <w:lang w:val="en-US" w:eastAsia="zh-CN" w:bidi="ar-SA"/>
        </w:rPr>
        <w:t xml:space="preserve">- Configuration latency: In the CU-DU split architecture, lower-layer configs decided by the DU have to be relayed via the CU, adding avoidable latency. For time-sensitive reconfigurations (e.g., radio link adjustments), this indirection slows down the process. </w:t>
      </w:r>
    </w:p>
    <w:p w14:paraId="03931667">
      <w:pPr>
        <w:pStyle w:val="6"/>
        <w:rPr>
          <w:rFonts w:hint="default" w:ascii="Times New Roman Bold" w:hAnsi="Times New Roman Bold" w:cs="Times New Roman Bold"/>
          <w:b/>
          <w:bCs w:val="0"/>
          <w:lang w:val="en-US" w:eastAsia="zh-CN"/>
        </w:rPr>
      </w:pPr>
      <w:r>
        <w:rPr>
          <w:rFonts w:hint="default" w:ascii="Times New Roman Bold" w:hAnsi="Times New Roman Bold" w:cs="Times New Roman Bold"/>
          <w:b/>
          <w:bCs w:val="0"/>
          <w:lang w:val="en-US" w:eastAsia="zh-CN"/>
        </w:rPr>
        <w:t>Observation</w:t>
      </w:r>
      <w:r>
        <w:rPr>
          <w:rFonts w:hint="eastAsia" w:ascii="Times New Roman Bold" w:hAnsi="Times New Roman Bold" w:cs="Times New Roman Bold"/>
          <w:b/>
          <w:bCs w:val="0"/>
          <w:lang w:val="en-US" w:eastAsia="zh-CN"/>
        </w:rPr>
        <w:t xml:space="preserve"> 2</w:t>
      </w:r>
      <w:r>
        <w:rPr>
          <w:rFonts w:hint="default" w:ascii="Times New Roman Bold" w:hAnsi="Times New Roman Bold" w:cs="Times New Roman Bold"/>
          <w:b/>
          <w:bCs w:val="0"/>
          <w:lang w:val="en-US" w:eastAsia="zh-CN"/>
        </w:rPr>
        <w:t>: 5G (NR) faces issues including a complex Radio Resource Control (RRC) protocol due to incremental feature additions, where its configuration model requires the network to provide a full set of parameters for every (re)configuration (leading to large message sizes and potential ambiguities in "delta" signaling), and unnecessary latency introduced by the centralized RRC entity in the CU when lower-layer configurations decided at the DU need to be forwarded through the CU.</w:t>
      </w:r>
    </w:p>
    <w:p w14:paraId="7E98B3D0">
      <w:pPr>
        <w:pStyle w:val="6"/>
        <w:rPr>
          <w:rFonts w:hint="default" w:ascii="Times New Roman Regular" w:hAnsi="Times New Roman Regular" w:cs="Times New Roman Regular" w:eastAsiaTheme="minorEastAsia"/>
          <w:kern w:val="2"/>
          <w:sz w:val="21"/>
          <w:szCs w:val="21"/>
          <w:lang w:val="en-US" w:eastAsia="zh-CN" w:bidi="ar-SA"/>
        </w:rPr>
      </w:pPr>
      <w:r>
        <w:rPr>
          <w:rFonts w:hint="default" w:ascii="Times New Roman Regular" w:hAnsi="Times New Roman Regular" w:cs="Times New Roman Regular" w:eastAsiaTheme="minorEastAsia"/>
          <w:kern w:val="2"/>
          <w:sz w:val="21"/>
          <w:szCs w:val="21"/>
          <w:lang w:val="en-US" w:eastAsia="zh-CN" w:bidi="ar-SA"/>
        </w:rPr>
        <w:t>The 6G radio access network is being designed to significantly simplify protocol complexity while improving efficiency and user experience. A critical aspect here is the Radio Resource Control (RRC) protocol, which has become increasingly complex in 5G (NR) due to incremental feature additions. Additionally, according to the RAN2#131bis meeting, RAN2 will conduct research on the modular design of the RRC protocol for 6G. These aforementioned 5G RRC-related issues have motivated the development of a redesigned configuration model for 6G, and in this contribution, we focus primarily on the modular design of the RRC protocol for 6G.</w:t>
      </w:r>
    </w:p>
    <w:bookmarkEnd w:id="1"/>
    <w:p w14:paraId="6FC061D7">
      <w:pPr>
        <w:pStyle w:val="5"/>
        <w:numPr>
          <w:ilvl w:val="1"/>
          <w:numId w:val="3"/>
        </w:numPr>
        <w:bidi w:val="0"/>
        <w:ind w:left="830" w:leftChars="0" w:hanging="405" w:firstLineChars="0"/>
        <w:rPr>
          <w:rFonts w:hint="default" w:ascii="Times New Roman Regular" w:hAnsi="Times New Roman Regular" w:cs="Times New Roman Regular"/>
          <w:b/>
          <w:bCs/>
          <w:sz w:val="21"/>
          <w:szCs w:val="21"/>
          <w:lang w:val="en-US" w:eastAsia="zh-CN"/>
        </w:rPr>
      </w:pPr>
      <w:bookmarkStart w:id="4" w:name="reference-configuration-safe-delta-model"/>
      <w:r>
        <w:rPr>
          <w:rFonts w:hint="eastAsia" w:ascii="Times New Roman Regular" w:hAnsi="Times New Roman Regular" w:cs="Times New Roman Regular"/>
          <w:b/>
          <w:bCs/>
          <w:sz w:val="21"/>
          <w:szCs w:val="21"/>
          <w:lang w:val="en-US" w:eastAsia="zh-CN"/>
        </w:rPr>
        <w:t xml:space="preserve"> Default </w:t>
      </w:r>
      <w:r>
        <w:rPr>
          <w:rFonts w:hint="default" w:ascii="Times New Roman Regular" w:hAnsi="Times New Roman Regular" w:cs="Times New Roman Regular"/>
          <w:b/>
          <w:bCs/>
          <w:sz w:val="21"/>
          <w:szCs w:val="21"/>
          <w:lang w:val="en-US" w:eastAsia="zh-CN"/>
        </w:rPr>
        <w:t xml:space="preserve">Reference Configuration &amp; Safe Delta </w:t>
      </w:r>
      <w:r>
        <w:rPr>
          <w:rFonts w:hint="eastAsia" w:ascii="Times New Roman Regular" w:hAnsi="Times New Roman Regular" w:cs="Times New Roman Regular"/>
          <w:b/>
          <w:bCs/>
          <w:sz w:val="21"/>
          <w:szCs w:val="21"/>
          <w:lang w:val="en-US" w:eastAsia="zh-CN"/>
        </w:rPr>
        <w:t>Configuration</w:t>
      </w:r>
    </w:p>
    <w:p w14:paraId="1B156FAE">
      <w:pPr>
        <w:pStyle w:val="6"/>
        <w:rPr>
          <w:rFonts w:hint="eastAsia" w:ascii="Times New Roman Regular" w:hAnsi="Times New Roman Regular" w:cs="Times New Roman Regular"/>
          <w:kern w:val="2"/>
          <w:sz w:val="21"/>
          <w:szCs w:val="21"/>
          <w:lang w:val="en-US" w:eastAsia="zh-CN" w:bidi="ar-SA"/>
        </w:rPr>
      </w:pPr>
      <w:r>
        <w:rPr>
          <w:rFonts w:hint="eastAsia" w:ascii="Times New Roman Regular" w:hAnsi="Times New Roman Regular" w:cs="Times New Roman Regular"/>
          <w:kern w:val="2"/>
          <w:sz w:val="21"/>
          <w:szCs w:val="21"/>
          <w:lang w:val="en-US" w:eastAsia="zh-CN" w:bidi="ar-SA"/>
        </w:rPr>
        <w:t xml:space="preserve">To address the "Delta ambiguity" issue, we propose that 6G RRC define one or more Reference Configurations as baseline configurations which UEs can assume by default; for instance, a Reference Configuration could represent a typical set of parameters for a specific deployment scenario or UE type, and it may be broadcast (e.g., in system information) or pre-provisioned to UEs. When configuring a specific UE, the network would then only transmit the Delta relative to this Reference Configuration, with the critical requirement that this Delta is communicated via an explicit change list: </w:t>
      </w:r>
    </w:p>
    <w:p w14:paraId="3BDD5BCC">
      <w:pPr>
        <w:pStyle w:val="6"/>
        <w:ind w:firstLine="420" w:firstLineChars="0"/>
        <w:rPr>
          <w:rFonts w:hint="eastAsia" w:ascii="Times New Roman Regular" w:hAnsi="Times New Roman Regular" w:cs="Times New Roman Regular"/>
          <w:kern w:val="2"/>
          <w:sz w:val="21"/>
          <w:szCs w:val="21"/>
          <w:lang w:val="en-US" w:eastAsia="zh-CN" w:bidi="ar-SA"/>
        </w:rPr>
      </w:pPr>
      <w:r>
        <w:rPr>
          <w:rFonts w:hint="eastAsia" w:ascii="Times New Roman Regular" w:hAnsi="Times New Roman Regular" w:cs="Times New Roman Regular"/>
          <w:kern w:val="2"/>
          <w:sz w:val="21"/>
          <w:szCs w:val="21"/>
          <w:lang w:val="en-US" w:eastAsia="zh-CN" w:bidi="ar-SA"/>
        </w:rPr>
        <w:t xml:space="preserve">- Each configuration element to be added, modified, or removed is explicitly identified (e.g., by an ID or structured name), and a new value is provided if modification is needed; </w:t>
      </w:r>
    </w:p>
    <w:p w14:paraId="25F4FB4D">
      <w:pPr>
        <w:pStyle w:val="6"/>
        <w:ind w:firstLine="420" w:firstLineChars="0"/>
        <w:rPr>
          <w:rFonts w:hint="eastAsia" w:ascii="Times New Roman Regular" w:hAnsi="Times New Roman Regular" w:cs="Times New Roman Regular"/>
          <w:kern w:val="2"/>
          <w:sz w:val="21"/>
          <w:szCs w:val="21"/>
          <w:lang w:val="en-US" w:eastAsia="zh-CN" w:bidi="ar-SA"/>
        </w:rPr>
      </w:pPr>
      <w:r>
        <w:rPr>
          <w:rFonts w:hint="eastAsia" w:ascii="Times New Roman Regular" w:hAnsi="Times New Roman Regular" w:cs="Times New Roman Regular"/>
          <w:kern w:val="2"/>
          <w:sz w:val="21"/>
          <w:szCs w:val="21"/>
          <w:lang w:val="en-US" w:eastAsia="zh-CN" w:bidi="ar-SA"/>
        </w:rPr>
        <w:t xml:space="preserve">- Any element not mentioned is implicitly unchanged, eliminating ambiguity. This explicit change-set approach differs from 5G’s use of ASN.1 optional omissions, ensuring the UE clearly understands exactly what has changed and which baseline to reference. </w:t>
      </w:r>
    </w:p>
    <w:p w14:paraId="2A12828E">
      <w:pPr>
        <w:pStyle w:val="6"/>
        <w:rPr>
          <w:rFonts w:hint="eastAsia" w:ascii="Times New Roman Regular" w:hAnsi="Times New Roman Regular" w:cs="Times New Roman Regular"/>
          <w:kern w:val="2"/>
          <w:sz w:val="21"/>
          <w:szCs w:val="21"/>
          <w:lang w:val="en-US" w:eastAsia="zh-CN" w:bidi="ar-SA"/>
        </w:rPr>
      </w:pPr>
      <w:r>
        <w:rPr>
          <w:rFonts w:hint="eastAsia" w:ascii="Times New Roman Regular" w:hAnsi="Times New Roman Regular" w:cs="Times New Roman Regular"/>
          <w:kern w:val="2"/>
          <w:sz w:val="21"/>
          <w:szCs w:val="21"/>
          <w:lang w:val="en-US" w:eastAsia="zh-CN" w:bidi="ar-SA"/>
        </w:rPr>
        <w:t xml:space="preserve">This "default common configuration + Delta configuration" mechanism can reduce message size, as common baseline configurations do not need to be retransmitted each time; the Delta message only contains new or changed content, thereby enhancing RRC signaling efficiency. Furthermore, this approach enables unambiguous interpretation by the UE: the UE does not need to rely on specification text or make assumptions about missing fields, and only applies exactly what is included in the change list—no more, no less. This significantly improves implementation robustness and security, as invalid parameter combinations can be avoided or at least explicitly detected. </w:t>
      </w:r>
    </w:p>
    <w:p w14:paraId="6B578718">
      <w:pPr>
        <w:pStyle w:val="6"/>
        <w:rPr>
          <w:rFonts w:hint="eastAsia" w:ascii="Times New Roman Bold" w:hAnsi="Times New Roman Bold" w:cs="Times New Roman Bold"/>
          <w:b/>
          <w:bCs/>
          <w:kern w:val="2"/>
          <w:sz w:val="21"/>
          <w:szCs w:val="21"/>
          <w:lang w:val="en-US" w:eastAsia="zh-CN" w:bidi="ar-SA"/>
        </w:rPr>
      </w:pPr>
      <w:r>
        <w:rPr>
          <w:rFonts w:hint="eastAsia" w:ascii="Times New Roman Bold" w:hAnsi="Times New Roman Bold" w:cs="Times New Roman Bold"/>
          <w:b/>
          <w:bCs/>
          <w:kern w:val="2"/>
          <w:sz w:val="21"/>
          <w:szCs w:val="21"/>
          <w:lang w:val="en-US" w:eastAsia="zh-CN" w:bidi="ar-SA"/>
        </w:rPr>
        <w:t>Observation</w:t>
      </w:r>
      <w:r>
        <w:rPr>
          <w:rFonts w:hint="default" w:ascii="Times New Roman Bold" w:hAnsi="Times New Roman Bold" w:cs="Times New Roman Bold"/>
          <w:b/>
          <w:bCs/>
          <w:kern w:val="2"/>
          <w:sz w:val="21"/>
          <w:szCs w:val="21"/>
          <w:lang w:val="en-US" w:eastAsia="zh-CN" w:bidi="ar-SA"/>
        </w:rPr>
        <w:t xml:space="preserve"> </w:t>
      </w:r>
      <w:r>
        <w:rPr>
          <w:rFonts w:hint="eastAsia" w:ascii="Times New Roman Bold" w:hAnsi="Times New Roman Bold" w:cs="Times New Roman Bold"/>
          <w:b/>
          <w:bCs/>
          <w:kern w:val="2"/>
          <w:sz w:val="21"/>
          <w:szCs w:val="21"/>
          <w:lang w:val="en-US" w:eastAsia="zh-CN" w:bidi="ar-SA"/>
        </w:rPr>
        <w:t>3：In light of the above, adopting a reference configuration + explicit delta model alongside a functional modular RRC design will greatly benefit 6G. It addresses current shortcomings in UE configuration complexity, ambiguity, and rigidity, paving the way for a simpler yet more capable control plane.</w:t>
      </w:r>
    </w:p>
    <w:p w14:paraId="33BDB94B">
      <w:pPr>
        <w:pStyle w:val="6"/>
        <w:rPr>
          <w:rFonts w:hint="default" w:ascii="Times New Roman Bold" w:hAnsi="Times New Roman Bold" w:cs="Times New Roman Bold"/>
          <w:b/>
          <w:bCs/>
          <w:kern w:val="2"/>
          <w:sz w:val="21"/>
          <w:szCs w:val="21"/>
          <w:lang w:val="en-US" w:eastAsia="zh-CN" w:bidi="ar-SA"/>
        </w:rPr>
      </w:pPr>
      <w:r>
        <w:rPr>
          <w:rFonts w:hint="default" w:ascii="Times New Roman Bold" w:hAnsi="Times New Roman Bold" w:cs="Times New Roman Bold"/>
          <w:b/>
          <w:bCs/>
          <w:kern w:val="2"/>
          <w:sz w:val="21"/>
          <w:szCs w:val="21"/>
          <w:lang w:val="en-US" w:eastAsia="zh-CN" w:bidi="ar-SA"/>
        </w:rPr>
        <w:t>Proposal 1</w:t>
      </w:r>
      <w:r>
        <w:rPr>
          <w:rFonts w:hint="eastAsia" w:ascii="Times New Roman Bold" w:hAnsi="Times New Roman Bold" w:cs="Times New Roman Bold"/>
          <w:b/>
          <w:bCs/>
          <w:kern w:val="2"/>
          <w:sz w:val="21"/>
          <w:szCs w:val="21"/>
          <w:lang w:val="en-US" w:eastAsia="zh-CN" w:bidi="ar-SA"/>
        </w:rPr>
        <w:t>：</w:t>
      </w:r>
      <w:r>
        <w:rPr>
          <w:rFonts w:hint="default" w:ascii="Times New Roman Bold" w:hAnsi="Times New Roman Bold" w:cs="Times New Roman Bold"/>
          <w:b/>
          <w:bCs/>
          <w:kern w:val="2"/>
          <w:sz w:val="21"/>
          <w:szCs w:val="21"/>
          <w:lang w:val="en-US" w:eastAsia="zh-CN" w:bidi="ar-SA"/>
        </w:rPr>
        <w:t xml:space="preserve"> It is proposed that 6G adopt an RRC configuration mechanism consisting of "common Reference Configuration + differentiated Delta incremental configuration", where Reference Configurations serve as baselines that are either assumed by default or pre-provisioned to UEs, while Delta configurations only include the settings that have changed relative to the baseline configurations.</w:t>
      </w:r>
    </w:p>
    <w:bookmarkEnd w:id="4"/>
    <w:p w14:paraId="4D8908B5">
      <w:pPr>
        <w:pStyle w:val="5"/>
        <w:numPr>
          <w:ilvl w:val="1"/>
          <w:numId w:val="3"/>
        </w:numPr>
        <w:bidi w:val="0"/>
        <w:ind w:left="830" w:leftChars="0" w:hanging="405" w:firstLineChars="0"/>
        <w:rPr>
          <w:rFonts w:hint="default" w:ascii="Times New Roman Regular" w:hAnsi="Times New Roman Regular" w:cs="Times New Roman Regular"/>
          <w:b/>
          <w:bCs/>
          <w:sz w:val="21"/>
          <w:szCs w:val="21"/>
          <w:lang w:val="en-US" w:eastAsia="zh-CN"/>
        </w:rPr>
      </w:pPr>
      <w:bookmarkStart w:id="5" w:name="functional-modular-rrc-structure"/>
      <w:r>
        <w:rPr>
          <w:rFonts w:hint="eastAsia" w:ascii="Times New Roman Regular" w:hAnsi="Times New Roman Regular" w:cs="Times New Roman Regular"/>
          <w:b/>
          <w:bCs/>
          <w:sz w:val="21"/>
          <w:szCs w:val="21"/>
          <w:lang w:val="en-US" w:eastAsia="zh-CN"/>
        </w:rPr>
        <w:t xml:space="preserve"> </w:t>
      </w:r>
      <w:r>
        <w:rPr>
          <w:rFonts w:hint="default" w:ascii="Times New Roman Regular" w:hAnsi="Times New Roman Regular" w:cs="Times New Roman Regular"/>
          <w:b/>
          <w:bCs/>
          <w:sz w:val="21"/>
          <w:szCs w:val="21"/>
          <w:lang w:val="en-US" w:eastAsia="zh-CN"/>
        </w:rPr>
        <w:t>Functional Modular RRC Structure</w:t>
      </w:r>
    </w:p>
    <w:p w14:paraId="686B8522">
      <w:pPr>
        <w:pStyle w:val="6"/>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For the modular design of RRC, RRC specifications can be structured into functional modules, both in documentation and ASN.1 definitions: </w:t>
      </w:r>
    </w:p>
    <w:p w14:paraId="61902166">
      <w:pPr>
        <w:pStyle w:val="6"/>
        <w:ind w:firstLine="42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 A Baseline Module contains core functions common to all UEs (e.g., connection control, basic radio setup). </w:t>
      </w:r>
    </w:p>
    <w:p w14:paraId="274B420E">
      <w:pPr>
        <w:pStyle w:val="6"/>
        <w:ind w:firstLine="42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 Additional Modules correspond to specific feature sets or functional domains, such as the Carrier Aggregation module, Dual Connectivity module, QoS/GBR module, Mobility module, and Reduced Capability Device module. Beyond division based on connection-related functions, the design of additional modules can also consider division based on service types or RRC states. </w:t>
      </w:r>
    </w:p>
    <w:p w14:paraId="54F4663B">
      <w:pPr>
        <w:pStyle w:val="6"/>
        <w:ind w:firstLine="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Each module encapsulates parameters and messages associated with its respective feature area. For example, the Mobility Module would define neighbor cell configuration, measurement control Information Elements (IEs), and handover commands—independently of other functional domains like QoS. </w:t>
      </w:r>
    </w:p>
    <w:p w14:paraId="361BC2E5">
      <w:pPr>
        <w:pStyle w:val="6"/>
        <w:ind w:firstLine="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modular design of RRC offers the following key benefits:</w:t>
      </w:r>
    </w:p>
    <w:p w14:paraId="1032B6F5">
      <w:pPr>
        <w:pStyle w:val="6"/>
        <w:ind w:firstLine="42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 - Clarity: Instead of a single monolithic RRC message format covering all functions, RRC messages act as containers for modules. Only modules relevant to a specific UE or session are included, making the specification easier to interpret and allowing implementers to focus on modules of interest. </w:t>
      </w:r>
    </w:p>
    <w:p w14:paraId="0E300C0C">
      <w:pPr>
        <w:pStyle w:val="6"/>
        <w:ind w:firstLine="42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Extensibility: New features can be added as new modules or extensions to existing modules, without disrupting the core RRC architecture. This aligns with the 6G principle of minimizing optionality by embedding flexibility into the design from the outset. For instance, an XR/AR-specific module could be introduced to handle ultra-low-latency configurations for AR devices, with no impact on devices that do not support this feature.</w:t>
      </w:r>
    </w:p>
    <w:p w14:paraId="186262DF">
      <w:pPr>
        <w:pStyle w:val="6"/>
        <w:ind w:firstLine="42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 - Decoupling Interdependencies: Modules also partially align with working group (WG) boundaries. For example, a module heavy in PHY layer parameters (e.g., beam management) can be designed with close input from RAN1, while a module focused on RRC state/idle behavior may involve RAN3/SA2. This separation simplifies cross-WG coordination, as changes within one functional domain ideally only affect its corresponding module. </w:t>
      </w:r>
    </w:p>
    <w:p w14:paraId="4781F955">
      <w:pPr>
        <w:pStyle w:val="6"/>
        <w:ind w:firstLine="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Additionally, a UE</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aware of its own capabilities via UE Capability signaling</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 xml:space="preserve">will notify the network of the modules it supports. The network then includes only these supported modules when configuring the UE, and any modules not present are simply ignored by the UE. </w:t>
      </w:r>
    </w:p>
    <w:p w14:paraId="044F3E90">
      <w:pPr>
        <w:pStyle w:val="6"/>
        <w:ind w:firstLine="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The modular design of RRC delivers three key benefits: Clarity (via targeted module inclusion in messages), Extensibility (via non-disruptive addition of new modules/extensions), and Decoupling of interdependencies (via alignment with working group boundaries to ease cross-WG coordination). </w:t>
      </w:r>
    </w:p>
    <w:p w14:paraId="4A17382C">
      <w:pPr>
        <w:pStyle w:val="6"/>
        <w:ind w:firstLine="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Given the advantages outlined above, it is proposed that 6G RRC adopt a modular design, consisting of a Baseline Module and multiple Enhanced Modules:</w:t>
      </w:r>
    </w:p>
    <w:p w14:paraId="56DBBE63">
      <w:pPr>
        <w:pStyle w:val="6"/>
        <w:ind w:firstLine="4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 - The Baseline Module contains core functions common to all UEs (e.g., connection control, basic radio setup).</w:t>
      </w:r>
    </w:p>
    <w:p w14:paraId="40285BD1">
      <w:pPr>
        <w:pStyle w:val="6"/>
        <w:ind w:firstLine="42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 xml:space="preserve"> - The multiple Enhanced Modules correspond to specific feature sets or functional domains, such as the Carrier Aggregation module, Dual Connectivity module, QoS/GBR module, Mobility module, and Reduced Capability Device module.</w:t>
      </w:r>
    </w:p>
    <w:bookmarkEnd w:id="5"/>
    <w:p w14:paraId="2233EE4B">
      <w:pPr>
        <w:pStyle w:val="5"/>
        <w:numPr>
          <w:ilvl w:val="1"/>
          <w:numId w:val="3"/>
        </w:numPr>
        <w:bidi w:val="0"/>
        <w:ind w:left="830" w:leftChars="0" w:hanging="405" w:firstLineChars="0"/>
        <w:rPr>
          <w:rFonts w:hint="default" w:ascii="Times New Roman Regular" w:hAnsi="Times New Roman Regular" w:cs="Times New Roman Regular"/>
          <w:b/>
          <w:bCs/>
          <w:sz w:val="21"/>
          <w:szCs w:val="21"/>
          <w:lang w:val="en-US" w:eastAsia="zh-CN"/>
        </w:rPr>
      </w:pPr>
      <w:bookmarkStart w:id="6" w:name="controlled-configuration-delegation"/>
      <w:r>
        <w:rPr>
          <w:rFonts w:hint="eastAsia" w:ascii="Times New Roman Regular" w:hAnsi="Times New Roman Regular" w:cs="Times New Roman Regular"/>
          <w:b/>
          <w:bCs/>
          <w:sz w:val="21"/>
          <w:szCs w:val="21"/>
          <w:lang w:val="en-US" w:eastAsia="zh-CN"/>
        </w:rPr>
        <w:t xml:space="preserve"> </w:t>
      </w:r>
      <w:r>
        <w:rPr>
          <w:rFonts w:hint="default" w:ascii="Times New Roman Regular" w:hAnsi="Times New Roman Regular" w:cs="Times New Roman Regular"/>
          <w:b/>
          <w:bCs/>
          <w:sz w:val="21"/>
          <w:szCs w:val="21"/>
          <w:lang w:val="en-US" w:eastAsia="zh-CN"/>
        </w:rPr>
        <w:t>Controlled Configuration Delegation</w:t>
      </w:r>
    </w:p>
    <w:p w14:paraId="07A7A0A4">
      <w:pPr>
        <w:pStyle w:val="6"/>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To address configuration latency—particularly in disaggregated RANs—a controlled delegation mechanism should be considered: certain RRC configuration tasks can be delegated to the Distributed Unit (DU) under the supervision of the Central Unit (CU). </w:t>
      </w:r>
    </w:p>
    <w:p w14:paraId="31D4FC33">
      <w:pPr>
        <w:pStyle w:val="6"/>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In the current 5G architecture, even if the DU determines a parameter (e.g., a PHY layer tuning), it must first send the parameter to the CU, which then forwards it to the UE. In 6G, we propose that the DU can directly transmit an RRC (or RRC-like) message to the UE for time-critical configurations (e.g., adjusting low-level parameters, switching a UE to a different beam or frequency). This message could take the form of a specialized fast-config message with a limited scope, while still leveraging RRC security (with keys shared via the CU) to ensure authenticity. The CU remains in the loop: either by being notified of the DU-to-UE configuration content (via the F1 interface) or by pre-authorizing a set of actions the DU can execute without requiring explicit permission for each instance. </w:t>
      </w:r>
    </w:p>
    <w:p w14:paraId="361EB890">
      <w:pPr>
        <w:pStyle w:val="6"/>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This scheme essentially shifts part of the configuration closer to the network edge, reducing round-trip latency. It is analogous to enabling the DU to perform "last-mile" configuration within the bounds defined by the CU. </w:t>
      </w:r>
    </w:p>
    <w:p w14:paraId="46F73C75">
      <w:pPr>
        <w:pStyle w:val="6"/>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Example Use Case, during mobility (e.g., handover or conditional handover scenarios), the DU of the target cell may possess the precise configuration required by the UE (such as PRACH parameters, timing settings, etc.). Instead of the DU notifying the CU (which then forwards the configuration to the UE), the target DU can send the configuration directly when needed—potentially cutting latency by tens of milliseconds. The CU, having authorized this delegation, would subsequently update the UE context. </w:t>
      </w:r>
    </w:p>
    <w:p w14:paraId="1E4164A3">
      <w:pPr>
        <w:pStyle w:val="6"/>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Additionally, careful consideration is required to maintain security (where DUs need the RRC integrity key to sign their messages) and consistency (ensuring the CU and DU do not fall out of sync with respect to the UE context). However, given the industry trend toward flexible RAN architectures, a well-defined delegation mechanism could substantially enhance performance.</w:t>
      </w:r>
    </w:p>
    <w:p w14:paraId="70727E59">
      <w:pPr>
        <w:pStyle w:val="6"/>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5: For disaggregated RAN, the mechanism that allows the DU to directly instruct the UE of DU-specific configuration information under the CU’s authorization can reduce configuration latency and ensure configuration timeliness.</w:t>
      </w:r>
    </w:p>
    <w:p w14:paraId="655A01CF">
      <w:pPr>
        <w:pStyle w:val="6"/>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proposed that a ”Controlled Configuration Delegation mechanism” be considered for 6G. Specifically, under a disaggregated RAN architecture, this mechanism enables the DU to directly instruct the UE of DU-specific configuration information with the CU’s authorization. Simultaneously, considerations must be given to two key aspects: the synchronization of UE context between the CU and DU, and the security of the configuration information transmitted by the DU to UE.</w:t>
      </w:r>
    </w:p>
    <w:bookmarkEnd w:id="2"/>
    <w:bookmarkEnd w:id="3"/>
    <w:bookmarkEnd w:id="6"/>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widowControl/>
        <w:overflowPunct w:val="0"/>
        <w:autoSpaceDE w:val="0"/>
        <w:autoSpaceDN w:val="0"/>
        <w:adjustRightInd w:val="0"/>
        <w:spacing w:after="180"/>
        <w:jc w:val="both"/>
        <w:textAlignment w:val="baseline"/>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eastAsia" w:ascii="Times New Roman" w:hAnsi="Times New Roman" w:cs="Times New Roman"/>
          <w:lang w:val="en-US" w:eastAsia="zh-CN"/>
        </w:rPr>
        <w:t>modular design of RRC for 6GR</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2D051BC6">
      <w:pPr>
        <w:pStyle w:val="6"/>
        <w:rPr>
          <w:rFonts w:hint="default" w:ascii="Times New Roman Bold" w:hAnsi="Times New Roman Bold" w:cs="Times New Roman Bold"/>
          <w:b w:val="0"/>
          <w:bCs w:val="0"/>
          <w:sz w:val="22"/>
          <w:szCs w:val="44"/>
          <w:lang w:val="en-US" w:eastAsia="zh-CN"/>
        </w:rPr>
      </w:pPr>
      <w:r>
        <w:rPr>
          <w:rFonts w:hint="eastAsia" w:ascii="Times New Roman Bold" w:hAnsi="Times New Roman Bold" w:cs="Times New Roman Bold"/>
          <w:b w:val="0"/>
          <w:bCs w:val="0"/>
          <w:sz w:val="22"/>
          <w:szCs w:val="44"/>
          <w:lang w:val="en-US" w:eastAsia="zh-CN"/>
        </w:rPr>
        <w:t xml:space="preserve">Observation 1: </w:t>
      </w:r>
      <w:r>
        <w:rPr>
          <w:rFonts w:hint="default" w:ascii="Times New Roman Bold" w:hAnsi="Times New Roman Bold" w:cs="Times New Roman Bold"/>
          <w:b w:val="0"/>
          <w:bCs w:val="0"/>
          <w:sz w:val="22"/>
          <w:szCs w:val="44"/>
          <w:lang w:val="en-US" w:eastAsia="zh-CN"/>
        </w:rPr>
        <w:t>5G NR RRC UE configuration has grown overly complex with post-Rel-15 features (e.g., BWP, SUL), so 6G must simplify and restructure it from the start of research</w:t>
      </w:r>
      <w:r>
        <w:rPr>
          <w:rFonts w:hint="eastAsia" w:ascii="Times New Roman Bold" w:hAnsi="Times New Roman Bold" w:cs="Times New Roman Bold"/>
          <w:b w:val="0"/>
          <w:bCs w:val="0"/>
          <w:sz w:val="22"/>
          <w:szCs w:val="44"/>
          <w:lang w:val="en-US" w:eastAsia="zh-CN"/>
        </w:rPr>
        <w:t>.</w:t>
      </w:r>
    </w:p>
    <w:p w14:paraId="2B70D0BC">
      <w:pPr>
        <w:pStyle w:val="6"/>
        <w:rPr>
          <w:rFonts w:hint="default" w:ascii="Times New Roman Bold" w:hAnsi="Times New Roman Bold" w:cs="Times New Roman Bold"/>
          <w:b/>
          <w:bCs w:val="0"/>
          <w:lang w:val="en-US" w:eastAsia="zh-CN"/>
        </w:rPr>
      </w:pPr>
      <w:r>
        <w:rPr>
          <w:rFonts w:hint="default" w:ascii="Times New Roman Bold" w:hAnsi="Times New Roman Bold" w:cs="Times New Roman Bold"/>
          <w:b/>
          <w:bCs w:val="0"/>
          <w:lang w:val="en-US" w:eastAsia="zh-CN"/>
        </w:rPr>
        <w:t>Observation</w:t>
      </w:r>
      <w:r>
        <w:rPr>
          <w:rFonts w:hint="eastAsia" w:ascii="Times New Roman Bold" w:hAnsi="Times New Roman Bold" w:cs="Times New Roman Bold"/>
          <w:b/>
          <w:bCs w:val="0"/>
          <w:lang w:val="en-US" w:eastAsia="zh-CN"/>
        </w:rPr>
        <w:t xml:space="preserve"> 2</w:t>
      </w:r>
      <w:r>
        <w:rPr>
          <w:rFonts w:hint="default" w:ascii="Times New Roman Bold" w:hAnsi="Times New Roman Bold" w:cs="Times New Roman Bold"/>
          <w:b/>
          <w:bCs w:val="0"/>
          <w:lang w:val="en-US" w:eastAsia="zh-CN"/>
        </w:rPr>
        <w:t>: 5G (NR) faces issues including a complex Radio Resource Control (RRC) protocol due to incremental feature additions, where its configuration model requires the network to provide a full set of parameters for every (re)configuration (leading to large message sizes and potential ambiguities in "delta" signaling), and unnecessary latency introduced by the centralized RRC entity in the CU when lower-layer configurations decided at the DU need to be forwarded through the CU.</w:t>
      </w:r>
    </w:p>
    <w:p w14:paraId="33273948">
      <w:pPr>
        <w:pStyle w:val="6"/>
        <w:rPr>
          <w:rFonts w:hint="eastAsia" w:ascii="Times New Roman Bold" w:hAnsi="Times New Roman Bold" w:cs="Times New Roman Bold"/>
          <w:b/>
          <w:bCs/>
          <w:kern w:val="2"/>
          <w:sz w:val="21"/>
          <w:szCs w:val="21"/>
          <w:lang w:val="en-US" w:eastAsia="zh-CN" w:bidi="ar-SA"/>
        </w:rPr>
      </w:pPr>
      <w:r>
        <w:rPr>
          <w:rFonts w:hint="eastAsia" w:ascii="Times New Roman Bold" w:hAnsi="Times New Roman Bold" w:cs="Times New Roman Bold"/>
          <w:b/>
          <w:bCs/>
          <w:kern w:val="2"/>
          <w:sz w:val="21"/>
          <w:szCs w:val="21"/>
          <w:lang w:val="en-US" w:eastAsia="zh-CN" w:bidi="ar-SA"/>
        </w:rPr>
        <w:t>Observation</w:t>
      </w:r>
      <w:r>
        <w:rPr>
          <w:rFonts w:hint="default" w:ascii="Times New Roman Bold" w:hAnsi="Times New Roman Bold" w:cs="Times New Roman Bold"/>
          <w:b/>
          <w:bCs/>
          <w:kern w:val="2"/>
          <w:sz w:val="21"/>
          <w:szCs w:val="21"/>
          <w:lang w:val="en-US" w:eastAsia="zh-CN" w:bidi="ar-SA"/>
        </w:rPr>
        <w:t xml:space="preserve"> </w:t>
      </w:r>
      <w:r>
        <w:rPr>
          <w:rFonts w:hint="eastAsia" w:ascii="Times New Roman Bold" w:hAnsi="Times New Roman Bold" w:cs="Times New Roman Bold"/>
          <w:b/>
          <w:bCs/>
          <w:kern w:val="2"/>
          <w:sz w:val="21"/>
          <w:szCs w:val="21"/>
          <w:lang w:val="en-US" w:eastAsia="zh-CN" w:bidi="ar-SA"/>
        </w:rPr>
        <w:t>3</w:t>
      </w:r>
      <w:r>
        <w:rPr>
          <w:rFonts w:hint="default" w:ascii="Times New Roman Bold" w:hAnsi="Times New Roman Bold" w:cs="Times New Roman Bold"/>
          <w:b/>
          <w:bCs/>
          <w:kern w:val="2"/>
          <w:sz w:val="21"/>
          <w:szCs w:val="21"/>
          <w:lang w:val="en-US" w:eastAsia="zh-CN" w:bidi="ar-SA"/>
        </w:rPr>
        <w:t xml:space="preserve">: </w:t>
      </w:r>
      <w:r>
        <w:rPr>
          <w:rFonts w:hint="eastAsia" w:ascii="Times New Roman Bold" w:hAnsi="Times New Roman Bold" w:cs="Times New Roman Bold"/>
          <w:b/>
          <w:bCs/>
          <w:kern w:val="2"/>
          <w:sz w:val="21"/>
          <w:szCs w:val="21"/>
          <w:lang w:val="en-US" w:eastAsia="zh-CN" w:bidi="ar-SA"/>
        </w:rPr>
        <w:t>In light of the above, adopting a reference configuration + explicit delta model alongside a functional modular RRC design will greatly benefit 6G. It addresses current shortcomings in UE configuration complexity, ambiguity, and rigidity, paving the way for a simpler yet more capable control plane.</w:t>
      </w:r>
    </w:p>
    <w:p w14:paraId="642AFA9D">
      <w:pPr>
        <w:pStyle w:val="6"/>
        <w:ind w:firstLine="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4</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 xml:space="preserve">The modular design of RRC delivers three key benefits: Clarity (via targeted module inclusion in messages), Extensibility (via non-disruptive addition of new modules/extensions), and Decoupling of interdependencies (via alignment with working group boundaries to ease cross-WG coordination). </w:t>
      </w:r>
    </w:p>
    <w:p w14:paraId="6953341E">
      <w:pPr>
        <w:pStyle w:val="6"/>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5: For disaggregated RAN, the mechanism that allows the DU to directly instruct the UE of DU-specific configuration information under the CU’s authorization can reduce configuration latency and ensure configuration timeliness.</w:t>
      </w:r>
    </w:p>
    <w:p w14:paraId="698A2AF4">
      <w:pPr>
        <w:pStyle w:val="6"/>
        <w:rPr>
          <w:rFonts w:hint="eastAsia" w:ascii="Times New Roman Bold" w:hAnsi="Times New Roman Bold" w:cs="Times New Roman Bold"/>
          <w:b/>
          <w:bCs/>
          <w:kern w:val="2"/>
          <w:sz w:val="21"/>
          <w:szCs w:val="21"/>
          <w:lang w:val="en-US" w:eastAsia="zh-CN" w:bidi="ar-SA"/>
        </w:rPr>
      </w:pPr>
    </w:p>
    <w:p w14:paraId="74DDA2C6">
      <w:pPr>
        <w:pStyle w:val="6"/>
        <w:rPr>
          <w:rFonts w:hint="default" w:ascii="Times New Roman Bold" w:hAnsi="Times New Roman Bold" w:cs="Times New Roman Bold"/>
          <w:b/>
          <w:bCs/>
          <w:kern w:val="2"/>
          <w:sz w:val="21"/>
          <w:szCs w:val="21"/>
          <w:lang w:val="en-US" w:eastAsia="zh-CN" w:bidi="ar-SA"/>
        </w:rPr>
      </w:pPr>
      <w:r>
        <w:rPr>
          <w:rFonts w:hint="default" w:ascii="Times New Roman Bold" w:hAnsi="Times New Roman Bold" w:cs="Times New Roman Bold"/>
          <w:b/>
          <w:bCs/>
          <w:kern w:val="2"/>
          <w:sz w:val="21"/>
          <w:szCs w:val="21"/>
          <w:lang w:val="en-US" w:eastAsia="zh-CN" w:bidi="ar-SA"/>
        </w:rPr>
        <w:t>Proposal 1: It is proposed that 6G adopt an RRC configuration mechanism consisting of "common Reference Configuration + differentiated Delta incremental configuration", where Reference Configurations serve as baselines that are either assumed by default or pre-provisioned to UEs, while Delta configurations only include the settings that have changed relative to the baseline configurations.</w:t>
      </w:r>
    </w:p>
    <w:p w14:paraId="7DADB4F2">
      <w:pPr>
        <w:pStyle w:val="6"/>
        <w:ind w:firstLine="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Given the advantages outlined above, it is proposed that 6G RRC adopt a modular design, consisting of a Baseline Module and multiple Enhanced Modules:</w:t>
      </w:r>
    </w:p>
    <w:p w14:paraId="6E5C8A03">
      <w:pPr>
        <w:pStyle w:val="6"/>
        <w:ind w:firstLine="4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 - The Baseline Module contains core functions common to all UEs (e.g., connection control, basic radio setup).</w:t>
      </w:r>
    </w:p>
    <w:p w14:paraId="78946A1C">
      <w:pPr>
        <w:pStyle w:val="6"/>
        <w:ind w:firstLine="420"/>
        <w:rPr>
          <w:rFonts w:hint="default" w:ascii="Times New Roman Regular" w:hAnsi="Times New Roman Regular" w:cs="Times New Roman Regular"/>
          <w:lang w:val="en-US" w:eastAsia="zh-CN"/>
        </w:rPr>
      </w:pPr>
      <w:r>
        <w:rPr>
          <w:rFonts w:hint="default" w:ascii="Times New Roman Bold" w:hAnsi="Times New Roman Bold" w:cs="Times New Roman Bold"/>
          <w:b/>
          <w:bCs/>
          <w:lang w:val="en-US" w:eastAsia="zh-CN"/>
        </w:rPr>
        <w:t xml:space="preserve"> - The multiple Enhanced Modules correspond to specific feature sets or functional domains, such as the Carrier Aggregation module, Dual Connectivity module, QoS/GBR module, Mobility module, and Reduced Capability Device module.</w:t>
      </w:r>
    </w:p>
    <w:p w14:paraId="6C69904E">
      <w:pPr>
        <w:pStyle w:val="6"/>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3: It is proposed that a ”Controlled Configuration Delegation mechanism” be considered for 6G. Specifically, under a disaggregated RAN architecture, this mechanism enables the DU to directly instruct the UE of DU-specific configuration information with the CU’s authorization. Simultaneously, considerations must be given to two key aspects: the synchronization of UE context between the CU and DU, and the security of the configuration information transmitted by the DU to UE.</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bookmarkStart w:id="7" w:name="_Toc54284462"/>
      <w:r>
        <w:rPr>
          <w:rFonts w:ascii="Times New Roman" w:hAnsi="Times New Roman"/>
        </w:rPr>
        <w:t>References</w:t>
      </w:r>
      <w:bookmarkEnd w:id="7"/>
    </w:p>
    <w:p w14:paraId="16683E82">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hint="default" w:ascii="Times New Roman" w:hAnsi="Times New Roman" w:cs="Times New Roman"/>
          <w:lang w:val="en-US"/>
        </w:rPr>
      </w:pPr>
      <w:r>
        <w:rPr>
          <w:rFonts w:hint="eastAsia" w:ascii="Times New Roman" w:hAnsi="Times New Roman"/>
          <w:sz w:val="20"/>
          <w:szCs w:val="20"/>
          <w:lang w:val="en-US" w:eastAsia="zh-CN"/>
        </w:rPr>
        <w:t>RAN2#131bis meeting agreements.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iragino Sans">
    <w:panose1 w:val="020B0300000000000000"/>
    <w:charset w:val="80"/>
    <w:family w:val="auto"/>
    <w:pitch w:val="default"/>
    <w:sig w:usb0="E00002FF" w:usb1="7AE7FFFF" w:usb2="00000012" w:usb3="00000000" w:csb0="0002000D"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Apple Color Emoji">
    <w:panose1 w:val="00000000000000000000"/>
    <w:charset w:val="00"/>
    <w:family w:val="auto"/>
    <w:pitch w:val="default"/>
    <w:sig w:usb0="00000003" w:usb1="18000000" w:usb2="14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3AA46647"/>
    <w:multiLevelType w:val="multilevel"/>
    <w:tmpl w:val="3AA46647"/>
    <w:lvl w:ilvl="0" w:tentative="0">
      <w:start w:val="2"/>
      <w:numFmt w:val="decimal"/>
      <w:lvlText w:val="Proposal %1"/>
      <w:lvlJc w:val="left"/>
      <w:pPr>
        <w:tabs>
          <w:tab w:val="left" w:pos="2563"/>
        </w:tabs>
        <w:ind w:left="2563" w:hanging="1304"/>
      </w:pPr>
    </w:lvl>
    <w:lvl w:ilvl="1" w:tentative="0">
      <w:start w:val="1"/>
      <w:numFmt w:val="decimal"/>
      <w:lvlText w:val="%2."/>
      <w:lvlJc w:val="left"/>
      <w:pPr>
        <w:tabs>
          <w:tab w:val="left" w:pos="2699"/>
        </w:tabs>
        <w:ind w:left="2699" w:hanging="360"/>
      </w:pPr>
    </w:lvl>
    <w:lvl w:ilvl="2" w:tentative="0">
      <w:start w:val="1"/>
      <w:numFmt w:val="lowerRoman"/>
      <w:lvlText w:val="%3."/>
      <w:lvlJc w:val="right"/>
      <w:pPr>
        <w:tabs>
          <w:tab w:val="left" w:pos="3419"/>
        </w:tabs>
        <w:ind w:left="3419" w:hanging="180"/>
      </w:pPr>
    </w:lvl>
    <w:lvl w:ilvl="3" w:tentative="0">
      <w:start w:val="1"/>
      <w:numFmt w:val="decimal"/>
      <w:lvlText w:val="%4."/>
      <w:lvlJc w:val="left"/>
      <w:pPr>
        <w:tabs>
          <w:tab w:val="left" w:pos="4139"/>
        </w:tabs>
        <w:ind w:left="4139" w:hanging="360"/>
      </w:pPr>
    </w:lvl>
    <w:lvl w:ilvl="4" w:tentative="0">
      <w:start w:val="1"/>
      <w:numFmt w:val="lowerLetter"/>
      <w:lvlText w:val="%5."/>
      <w:lvlJc w:val="left"/>
      <w:pPr>
        <w:tabs>
          <w:tab w:val="left" w:pos="4859"/>
        </w:tabs>
        <w:ind w:left="4859" w:hanging="360"/>
      </w:pPr>
    </w:lvl>
    <w:lvl w:ilvl="5" w:tentative="0">
      <w:start w:val="1"/>
      <w:numFmt w:val="lowerRoman"/>
      <w:lvlText w:val="%6."/>
      <w:lvlJc w:val="right"/>
      <w:pPr>
        <w:tabs>
          <w:tab w:val="left" w:pos="5579"/>
        </w:tabs>
        <w:ind w:left="5579" w:hanging="180"/>
      </w:pPr>
    </w:lvl>
    <w:lvl w:ilvl="6" w:tentative="0">
      <w:start w:val="1"/>
      <w:numFmt w:val="decimal"/>
      <w:lvlText w:val="%7."/>
      <w:lvlJc w:val="left"/>
      <w:pPr>
        <w:tabs>
          <w:tab w:val="left" w:pos="6299"/>
        </w:tabs>
        <w:ind w:left="6299" w:hanging="360"/>
      </w:pPr>
    </w:lvl>
    <w:lvl w:ilvl="7" w:tentative="0">
      <w:start w:val="1"/>
      <w:numFmt w:val="lowerLetter"/>
      <w:lvlText w:val="%8."/>
      <w:lvlJc w:val="left"/>
      <w:pPr>
        <w:tabs>
          <w:tab w:val="left" w:pos="7019"/>
        </w:tabs>
        <w:ind w:left="7019" w:hanging="360"/>
      </w:pPr>
    </w:lvl>
    <w:lvl w:ilvl="8" w:tentative="0">
      <w:start w:val="1"/>
      <w:numFmt w:val="lowerRoman"/>
      <w:lvlText w:val="%9."/>
      <w:lvlJc w:val="right"/>
      <w:pPr>
        <w:tabs>
          <w:tab w:val="left" w:pos="7739"/>
        </w:tabs>
        <w:ind w:left="7739" w:hanging="180"/>
      </w:p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7"/>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8"/>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9"/>
      <w:lvlText w:val="%1.%2.%3.%4.%5"/>
      <w:lvlJc w:val="left"/>
      <w:pPr>
        <w:tabs>
          <w:tab w:val="left" w:pos="1188"/>
        </w:tabs>
        <w:ind w:left="851" w:hanging="851"/>
      </w:pPr>
      <w:rPr>
        <w:rFonts w:hint="default" w:ascii="Arial" w:hAnsi="Arial"/>
      </w:rPr>
    </w:lvl>
    <w:lvl w:ilvl="5" w:tentative="0">
      <w:start w:val="1"/>
      <w:numFmt w:val="decimal"/>
      <w:pStyle w:val="10"/>
      <w:lvlText w:val="%1.%2.%3.%4.%5.%6"/>
      <w:lvlJc w:val="left"/>
      <w:pPr>
        <w:tabs>
          <w:tab w:val="left" w:pos="1152"/>
        </w:tabs>
        <w:ind w:left="851" w:hanging="851"/>
      </w:pPr>
      <w:rPr>
        <w:rFonts w:hint="eastAsia"/>
      </w:rPr>
    </w:lvl>
    <w:lvl w:ilvl="6" w:tentative="0">
      <w:start w:val="1"/>
      <w:numFmt w:val="decimal"/>
      <w:pStyle w:val="11"/>
      <w:lvlText w:val="%1.%2.%3.%4.%5.%6.%7"/>
      <w:lvlJc w:val="left"/>
      <w:pPr>
        <w:tabs>
          <w:tab w:val="left" w:pos="1476"/>
        </w:tabs>
        <w:ind w:left="1476" w:hanging="1476"/>
      </w:pPr>
      <w:rPr>
        <w:rFonts w:hint="eastAsia"/>
      </w:rPr>
    </w:lvl>
    <w:lvl w:ilvl="7" w:tentative="0">
      <w:start w:val="1"/>
      <w:numFmt w:val="decimal"/>
      <w:pStyle w:val="12"/>
      <w:lvlText w:val="%1.%2.%3.%4.%5.%6.%7.%8"/>
      <w:lvlJc w:val="left"/>
      <w:pPr>
        <w:tabs>
          <w:tab w:val="left" w:pos="1620"/>
        </w:tabs>
        <w:ind w:left="1620" w:hanging="1620"/>
      </w:pPr>
      <w:rPr>
        <w:rFonts w:hint="eastAsia"/>
      </w:rPr>
    </w:lvl>
    <w:lvl w:ilvl="8" w:tentative="0">
      <w:start w:val="1"/>
      <w:numFmt w:val="decimal"/>
      <w:pStyle w:val="13"/>
      <w:lvlText w:val="%1.%2.%3.%4.%5.%6.%7.%8.%9"/>
      <w:lvlJc w:val="left"/>
      <w:pPr>
        <w:tabs>
          <w:tab w:val="left" w:pos="1764"/>
        </w:tabs>
        <w:ind w:left="1764" w:hanging="1764"/>
      </w:pPr>
      <w:rPr>
        <w:rFonts w:hint="eastAsia"/>
      </w:rPr>
    </w:lvl>
  </w:abstractNum>
  <w:abstractNum w:abstractNumId="4">
    <w:nsid w:val="70146DC0"/>
    <w:multiLevelType w:val="multilevel"/>
    <w:tmpl w:val="70146DC0"/>
    <w:lvl w:ilvl="0" w:tentative="0">
      <w:start w:val="1"/>
      <w:numFmt w:val="bullet"/>
      <w:pStyle w:val="5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8FCA5CC"/>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AEB60D4"/>
    <w:rsid w:val="3B0B0E31"/>
    <w:rsid w:val="3BDE98A4"/>
    <w:rsid w:val="3BDF187F"/>
    <w:rsid w:val="3C5E1386"/>
    <w:rsid w:val="3C6A376B"/>
    <w:rsid w:val="3CAD3871"/>
    <w:rsid w:val="3D2C404F"/>
    <w:rsid w:val="3D4FA6A7"/>
    <w:rsid w:val="3D794C69"/>
    <w:rsid w:val="3DAFB95F"/>
    <w:rsid w:val="3DFD2B33"/>
    <w:rsid w:val="3DFEA3AF"/>
    <w:rsid w:val="3DFFC8B2"/>
    <w:rsid w:val="3E4459B8"/>
    <w:rsid w:val="3E6B1C59"/>
    <w:rsid w:val="3E7F4774"/>
    <w:rsid w:val="3EFD8626"/>
    <w:rsid w:val="3F6658E6"/>
    <w:rsid w:val="3F6F6A24"/>
    <w:rsid w:val="3FA2285D"/>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CFBFF7C"/>
    <w:rsid w:val="4CFD9E08"/>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EDE79E"/>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3B5249"/>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6B9B4B"/>
    <w:rsid w:val="6FB58093"/>
    <w:rsid w:val="6FBBCC3F"/>
    <w:rsid w:val="6FCF2FF4"/>
    <w:rsid w:val="6FF7E176"/>
    <w:rsid w:val="70A04FBC"/>
    <w:rsid w:val="72041505"/>
    <w:rsid w:val="72F16DFA"/>
    <w:rsid w:val="73A25C56"/>
    <w:rsid w:val="73FE447C"/>
    <w:rsid w:val="73FF2BB4"/>
    <w:rsid w:val="740B2A1F"/>
    <w:rsid w:val="74566E86"/>
    <w:rsid w:val="74FF7320"/>
    <w:rsid w:val="757B2FF8"/>
    <w:rsid w:val="75DF6A2F"/>
    <w:rsid w:val="75E11EE8"/>
    <w:rsid w:val="767FFFB6"/>
    <w:rsid w:val="772665FC"/>
    <w:rsid w:val="772B48E7"/>
    <w:rsid w:val="77366967"/>
    <w:rsid w:val="776C150F"/>
    <w:rsid w:val="777FE0CF"/>
    <w:rsid w:val="77C3C807"/>
    <w:rsid w:val="77F37F57"/>
    <w:rsid w:val="77F7E429"/>
    <w:rsid w:val="77FC5BC6"/>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CFB8D33"/>
    <w:rsid w:val="7D6CD582"/>
    <w:rsid w:val="7D72B7FF"/>
    <w:rsid w:val="7D776755"/>
    <w:rsid w:val="7D8D41BC"/>
    <w:rsid w:val="7DAD07BE"/>
    <w:rsid w:val="7DBD72FD"/>
    <w:rsid w:val="7DBF09C0"/>
    <w:rsid w:val="7DDD9569"/>
    <w:rsid w:val="7DFDED1E"/>
    <w:rsid w:val="7E2B7701"/>
    <w:rsid w:val="7E891548"/>
    <w:rsid w:val="7E894D3F"/>
    <w:rsid w:val="7EA146AC"/>
    <w:rsid w:val="7ECFE177"/>
    <w:rsid w:val="7EEB0810"/>
    <w:rsid w:val="7EF666CC"/>
    <w:rsid w:val="7EFD3C2C"/>
    <w:rsid w:val="7F5F03C4"/>
    <w:rsid w:val="7F5F59F3"/>
    <w:rsid w:val="7F777CAC"/>
    <w:rsid w:val="7F912972"/>
    <w:rsid w:val="7F975008"/>
    <w:rsid w:val="7F9F5B2E"/>
    <w:rsid w:val="7FD75273"/>
    <w:rsid w:val="7FDC0D80"/>
    <w:rsid w:val="7FEB6E10"/>
    <w:rsid w:val="7FEF386F"/>
    <w:rsid w:val="7FEF9B6C"/>
    <w:rsid w:val="7FFB1202"/>
    <w:rsid w:val="7FFBC5B3"/>
    <w:rsid w:val="7FFCD67F"/>
    <w:rsid w:val="7FFD6BA2"/>
    <w:rsid w:val="7FFD70D7"/>
    <w:rsid w:val="7FFF46E4"/>
    <w:rsid w:val="7FFF4C60"/>
    <w:rsid w:val="7FFFEAAC"/>
    <w:rsid w:val="897D9E21"/>
    <w:rsid w:val="8AFEA0D3"/>
    <w:rsid w:val="8FDF5E6A"/>
    <w:rsid w:val="8FEB6DDC"/>
    <w:rsid w:val="92F7F979"/>
    <w:rsid w:val="93E7555A"/>
    <w:rsid w:val="95410530"/>
    <w:rsid w:val="97CDEA88"/>
    <w:rsid w:val="97FFB322"/>
    <w:rsid w:val="9BBF0AEE"/>
    <w:rsid w:val="9BDFC227"/>
    <w:rsid w:val="9EEB1666"/>
    <w:rsid w:val="A36F1787"/>
    <w:rsid w:val="A7D183B8"/>
    <w:rsid w:val="A7F32433"/>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FE9655"/>
    <w:rsid w:val="BC739896"/>
    <w:rsid w:val="BEEBEEB1"/>
    <w:rsid w:val="BF1FFA06"/>
    <w:rsid w:val="BF580821"/>
    <w:rsid w:val="BF5C85D2"/>
    <w:rsid w:val="BF77465D"/>
    <w:rsid w:val="BFDC8D70"/>
    <w:rsid w:val="BFEEBC2F"/>
    <w:rsid w:val="BFFFC52F"/>
    <w:rsid w:val="C4CF92FB"/>
    <w:rsid w:val="C5F6EFD2"/>
    <w:rsid w:val="C78F30F2"/>
    <w:rsid w:val="C7FD88C7"/>
    <w:rsid w:val="CBFE475B"/>
    <w:rsid w:val="CEDD30F2"/>
    <w:rsid w:val="D4BFFFC3"/>
    <w:rsid w:val="D6DFAE4B"/>
    <w:rsid w:val="D7DFAEDF"/>
    <w:rsid w:val="D7F768CD"/>
    <w:rsid w:val="D87A3C5C"/>
    <w:rsid w:val="D99F7B6E"/>
    <w:rsid w:val="DA1F8A03"/>
    <w:rsid w:val="DD7E827F"/>
    <w:rsid w:val="DDFDFB41"/>
    <w:rsid w:val="DE55220A"/>
    <w:rsid w:val="DFD360C6"/>
    <w:rsid w:val="DFDD8A97"/>
    <w:rsid w:val="E3FFE2B0"/>
    <w:rsid w:val="E4EF32E2"/>
    <w:rsid w:val="E5FC7EC9"/>
    <w:rsid w:val="E6FFEDCF"/>
    <w:rsid w:val="E797C820"/>
    <w:rsid w:val="E7BC645C"/>
    <w:rsid w:val="E9FAE5A0"/>
    <w:rsid w:val="EAB96328"/>
    <w:rsid w:val="EACF7266"/>
    <w:rsid w:val="EB5E9EC4"/>
    <w:rsid w:val="EB771A6F"/>
    <w:rsid w:val="EB7E3CA1"/>
    <w:rsid w:val="EBBE0548"/>
    <w:rsid w:val="EBD6EBD8"/>
    <w:rsid w:val="EBFA594B"/>
    <w:rsid w:val="EBFF14EF"/>
    <w:rsid w:val="EC934008"/>
    <w:rsid w:val="EDBF2ACF"/>
    <w:rsid w:val="EEB97187"/>
    <w:rsid w:val="EEF5CA37"/>
    <w:rsid w:val="EEF7184B"/>
    <w:rsid w:val="EF5F07B3"/>
    <w:rsid w:val="EFD7173A"/>
    <w:rsid w:val="EFFB65B3"/>
    <w:rsid w:val="EFFFAF7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F73391"/>
    <w:rsid w:val="F7FBA641"/>
    <w:rsid w:val="F7FFB719"/>
    <w:rsid w:val="F9727BE8"/>
    <w:rsid w:val="F9B60C06"/>
    <w:rsid w:val="F9C7441D"/>
    <w:rsid w:val="F9F608DC"/>
    <w:rsid w:val="F9FAD8BF"/>
    <w:rsid w:val="FB0DDA02"/>
    <w:rsid w:val="FB2F790E"/>
    <w:rsid w:val="FBBFB79D"/>
    <w:rsid w:val="FBBFFAFF"/>
    <w:rsid w:val="FBF0B5C6"/>
    <w:rsid w:val="FBF72C08"/>
    <w:rsid w:val="FCB9FAC1"/>
    <w:rsid w:val="FCFB9AA0"/>
    <w:rsid w:val="FD7F3F5C"/>
    <w:rsid w:val="FD972D38"/>
    <w:rsid w:val="FDB61399"/>
    <w:rsid w:val="FDED6B39"/>
    <w:rsid w:val="FDF3009E"/>
    <w:rsid w:val="FDF6C23C"/>
    <w:rsid w:val="FDFA8D19"/>
    <w:rsid w:val="FDFB25DD"/>
    <w:rsid w:val="FDFF2EA2"/>
    <w:rsid w:val="FDFF9769"/>
    <w:rsid w:val="FECF4522"/>
    <w:rsid w:val="FEDFB1C7"/>
    <w:rsid w:val="FEF75778"/>
    <w:rsid w:val="FEFD015D"/>
    <w:rsid w:val="FF770E38"/>
    <w:rsid w:val="FF7DDAD3"/>
    <w:rsid w:val="FFAFA38E"/>
    <w:rsid w:val="FFB8A450"/>
    <w:rsid w:val="FFBD9900"/>
    <w:rsid w:val="FFCBA749"/>
    <w:rsid w:val="FFCF72DF"/>
    <w:rsid w:val="FFDF711A"/>
    <w:rsid w:val="FFF37FFC"/>
    <w:rsid w:val="FFF4C645"/>
    <w:rsid w:val="FFF6161C"/>
    <w:rsid w:val="FFF7DE59"/>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3"/>
    <w:link w:val="31"/>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5">
    <w:name w:val="heading 2"/>
    <w:basedOn w:val="1"/>
    <w:next w:val="6"/>
    <w:link w:val="33"/>
    <w:autoRedefine/>
    <w:unhideWhenUsed/>
    <w:qFormat/>
    <w:uiPriority w:val="9"/>
    <w:pPr>
      <w:keepNext/>
      <w:keepLines/>
      <w:tabs>
        <w:tab w:val="left" w:pos="612"/>
      </w:tabs>
      <w:spacing w:before="260" w:after="260" w:line="416" w:lineRule="auto"/>
      <w:outlineLvl w:val="1"/>
    </w:pPr>
    <w:rPr>
      <w:rFonts w:eastAsia="Times New Roman" w:asciiTheme="majorHAnsi" w:hAnsiTheme="majorHAnsi" w:cstheme="majorBidi"/>
      <w:bCs/>
      <w:sz w:val="18"/>
      <w:szCs w:val="32"/>
    </w:rPr>
  </w:style>
  <w:style w:type="paragraph" w:styleId="7">
    <w:name w:val="heading 3"/>
    <w:basedOn w:val="1"/>
    <w:next w:val="6"/>
    <w:link w:val="34"/>
    <w:autoRedefine/>
    <w:unhideWhenUsed/>
    <w:qFormat/>
    <w:uiPriority w:val="9"/>
    <w:pPr>
      <w:keepNext/>
      <w:keepLines/>
      <w:numPr>
        <w:ilvl w:val="2"/>
        <w:numId w:val="1"/>
      </w:numPr>
      <w:tabs>
        <w:tab w:val="left" w:pos="612"/>
      </w:tabs>
      <w:spacing w:before="260" w:after="260" w:line="416" w:lineRule="auto"/>
      <w:outlineLvl w:val="2"/>
    </w:pPr>
    <w:rPr>
      <w:sz w:val="32"/>
      <w:szCs w:val="32"/>
    </w:rPr>
  </w:style>
  <w:style w:type="paragraph" w:styleId="8">
    <w:name w:val="heading 4"/>
    <w:basedOn w:val="7"/>
    <w:next w:val="3"/>
    <w:link w:val="39"/>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9">
    <w:name w:val="heading 5"/>
    <w:basedOn w:val="8"/>
    <w:next w:val="1"/>
    <w:link w:val="40"/>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10">
    <w:name w:val="heading 6"/>
    <w:basedOn w:val="1"/>
    <w:next w:val="1"/>
    <w:link w:val="41"/>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1">
    <w:name w:val="heading 7"/>
    <w:basedOn w:val="1"/>
    <w:next w:val="1"/>
    <w:link w:val="42"/>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2">
    <w:name w:val="heading 8"/>
    <w:basedOn w:val="1"/>
    <w:next w:val="1"/>
    <w:link w:val="43"/>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3">
    <w:name w:val="heading 9"/>
    <w:basedOn w:val="1"/>
    <w:next w:val="1"/>
    <w:link w:val="44"/>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3">
    <w:name w:val="Doc-title"/>
    <w:basedOn w:val="1"/>
    <w:next w:val="4"/>
    <w:autoRedefine/>
    <w:qFormat/>
    <w:uiPriority w:val="0"/>
    <w:pPr>
      <w:spacing w:before="60"/>
      <w:ind w:left="1259" w:hanging="1259"/>
    </w:pPr>
  </w:style>
  <w:style w:type="paragraph" w:customStyle="1" w:styleId="4">
    <w:name w:val="Doc-text2"/>
    <w:basedOn w:val="1"/>
    <w:autoRedefine/>
    <w:qFormat/>
    <w:uiPriority w:val="0"/>
    <w:pPr>
      <w:tabs>
        <w:tab w:val="left" w:pos="1622"/>
      </w:tabs>
      <w:spacing w:before="0"/>
      <w:ind w:left="1622" w:hanging="363"/>
    </w:pPr>
  </w:style>
  <w:style w:type="paragraph" w:styleId="6">
    <w:name w:val="Body Text"/>
    <w:basedOn w:val="1"/>
    <w:link w:val="28"/>
    <w:qFormat/>
    <w:uiPriority w:val="0"/>
    <w:pPr>
      <w:spacing w:before="180" w:after="180"/>
    </w:pPr>
  </w:style>
  <w:style w:type="paragraph" w:styleId="14">
    <w:name w:val="caption"/>
    <w:basedOn w:val="1"/>
    <w:next w:val="1"/>
    <w:link w:val="36"/>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5">
    <w:name w:val="annotation text"/>
    <w:basedOn w:val="1"/>
    <w:link w:val="50"/>
    <w:autoRedefine/>
    <w:semiHidden/>
    <w:unhideWhenUsed/>
    <w:qFormat/>
    <w:uiPriority w:val="99"/>
    <w:pPr>
      <w:jc w:val="left"/>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52"/>
    <w:autoRedefine/>
    <w:semiHidden/>
    <w:unhideWhenUsed/>
    <w:qFormat/>
    <w:uiPriority w:val="99"/>
    <w:rPr>
      <w:sz w:val="18"/>
      <w:szCs w:val="18"/>
    </w:rPr>
  </w:style>
  <w:style w:type="paragraph" w:styleId="19">
    <w:name w:val="footer"/>
    <w:basedOn w:val="1"/>
    <w:link w:val="49"/>
    <w:autoRedefine/>
    <w:unhideWhenUsed/>
    <w:qFormat/>
    <w:uiPriority w:val="99"/>
    <w:pPr>
      <w:tabs>
        <w:tab w:val="center" w:pos="4153"/>
        <w:tab w:val="right" w:pos="8306"/>
      </w:tabs>
      <w:snapToGrid w:val="0"/>
      <w:jc w:val="left"/>
    </w:pPr>
    <w:rPr>
      <w:sz w:val="18"/>
      <w:szCs w:val="18"/>
    </w:rPr>
  </w:style>
  <w:style w:type="paragraph" w:styleId="20">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5"/>
    <w:next w:val="15"/>
    <w:link w:val="51"/>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Hyperlink"/>
    <w:basedOn w:val="28"/>
    <w:qFormat/>
    <w:uiPriority w:val="0"/>
    <w:rPr>
      <w:color w:val="5B9BD5" w:themeColor="accent1"/>
      <w14:textFill>
        <w14:solidFill>
          <w14:schemeClr w14:val="accent1"/>
        </w14:solidFill>
      </w14:textFill>
    </w:rPr>
  </w:style>
  <w:style w:type="character" w:customStyle="1" w:styleId="28">
    <w:name w:val="Body Text Char"/>
    <w:basedOn w:val="25"/>
    <w:link w:val="6"/>
    <w:qFormat/>
    <w:uiPriority w:val="0"/>
  </w:style>
  <w:style w:type="character" w:styleId="29">
    <w:name w:val="HTML Code"/>
    <w:basedOn w:val="25"/>
    <w:semiHidden/>
    <w:unhideWhenUsed/>
    <w:qFormat/>
    <w:uiPriority w:val="99"/>
    <w:rPr>
      <w:rFonts w:ascii="Courier New" w:hAnsi="Courier New"/>
      <w:sz w:val="20"/>
    </w:rPr>
  </w:style>
  <w:style w:type="character" w:styleId="30">
    <w:name w:val="annotation reference"/>
    <w:basedOn w:val="25"/>
    <w:autoRedefine/>
    <w:unhideWhenUsed/>
    <w:qFormat/>
    <w:uiPriority w:val="99"/>
    <w:rPr>
      <w:sz w:val="16"/>
      <w:szCs w:val="16"/>
    </w:rPr>
  </w:style>
  <w:style w:type="character" w:customStyle="1" w:styleId="31">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32">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2 字符"/>
    <w:basedOn w:val="25"/>
    <w:link w:val="5"/>
    <w:autoRedefine/>
    <w:qFormat/>
    <w:uiPriority w:val="9"/>
    <w:rPr>
      <w:rFonts w:eastAsia="Times New Roman" w:asciiTheme="majorHAnsi" w:hAnsiTheme="majorHAnsi" w:cstheme="majorBidi"/>
      <w:b/>
      <w:bCs/>
      <w:sz w:val="18"/>
      <w:szCs w:val="32"/>
    </w:rPr>
  </w:style>
  <w:style w:type="character" w:customStyle="1" w:styleId="34">
    <w:name w:val="标题 3 字符"/>
    <w:basedOn w:val="25"/>
    <w:link w:val="7"/>
    <w:autoRedefine/>
    <w:semiHidden/>
    <w:qFormat/>
    <w:uiPriority w:val="9"/>
    <w:rPr>
      <w:rFonts w:asciiTheme="minorHAnsi" w:hAnsiTheme="minorHAnsi" w:eastAsiaTheme="minorEastAsia"/>
      <w:b/>
      <w:bCs/>
      <w:sz w:val="32"/>
      <w:szCs w:val="32"/>
    </w:rPr>
  </w:style>
  <w:style w:type="paragraph" w:customStyle="1" w:styleId="35">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6">
    <w:name w:val="题注 字符"/>
    <w:link w:val="14"/>
    <w:qFormat/>
    <w:locked/>
    <w:uiPriority w:val="35"/>
    <w:rPr>
      <w:rFonts w:ascii="Times New Roman" w:hAnsi="Times New Roman" w:eastAsia="Times New Roman" w:cs="Times New Roman"/>
      <w:b/>
      <w:bCs/>
      <w:kern w:val="0"/>
      <w:sz w:val="24"/>
      <w:szCs w:val="24"/>
      <w:lang w:eastAsia="en-US"/>
    </w:rPr>
  </w:style>
  <w:style w:type="paragraph" w:styleId="37">
    <w:name w:val="List Paragraph"/>
    <w:basedOn w:val="1"/>
    <w:link w:val="38"/>
    <w:autoRedefine/>
    <w:qFormat/>
    <w:uiPriority w:val="34"/>
    <w:pPr>
      <w:widowControl/>
      <w:ind w:left="720"/>
      <w:jc w:val="left"/>
    </w:pPr>
    <w:rPr>
      <w:rFonts w:ascii="Calibri" w:hAnsi="Calibri" w:eastAsia="Calibri" w:cs="Times New Roman"/>
      <w:kern w:val="0"/>
      <w:sz w:val="22"/>
      <w:lang w:eastAsia="en-US"/>
    </w:rPr>
  </w:style>
  <w:style w:type="character" w:customStyle="1" w:styleId="38">
    <w:name w:val="列出段落 字符"/>
    <w:link w:val="37"/>
    <w:autoRedefine/>
    <w:qFormat/>
    <w:locked/>
    <w:uiPriority w:val="34"/>
    <w:rPr>
      <w:rFonts w:ascii="Calibri" w:hAnsi="Calibri" w:eastAsia="Calibri" w:cs="Times New Roman"/>
      <w:kern w:val="0"/>
      <w:sz w:val="22"/>
      <w:lang w:eastAsia="en-US"/>
    </w:rPr>
  </w:style>
  <w:style w:type="character" w:customStyle="1" w:styleId="39">
    <w:name w:val="标题 4 字符"/>
    <w:basedOn w:val="25"/>
    <w:link w:val="8"/>
    <w:qFormat/>
    <w:uiPriority w:val="0"/>
    <w:rPr>
      <w:rFonts w:ascii="Times New Roman" w:hAnsi="Times New Roman" w:eastAsia="MS Mincho" w:cs="Times New Roman"/>
      <w:b/>
      <w:bCs/>
      <w:kern w:val="0"/>
      <w:sz w:val="28"/>
      <w:szCs w:val="28"/>
      <w:lang w:eastAsia="en-US"/>
    </w:rPr>
  </w:style>
  <w:style w:type="character" w:customStyle="1" w:styleId="40">
    <w:name w:val="标题 5 字符"/>
    <w:basedOn w:val="25"/>
    <w:link w:val="9"/>
    <w:autoRedefine/>
    <w:qFormat/>
    <w:uiPriority w:val="0"/>
    <w:rPr>
      <w:rFonts w:ascii="Times New Roman" w:hAnsi="Times New Roman" w:eastAsia="Times New Roman" w:cs="Times New Roman"/>
      <w:b/>
      <w:bCs/>
      <w:kern w:val="0"/>
      <w:sz w:val="28"/>
      <w:szCs w:val="28"/>
      <w:lang w:eastAsia="en-US"/>
    </w:rPr>
  </w:style>
  <w:style w:type="character" w:customStyle="1" w:styleId="41">
    <w:name w:val="标题 6 字符"/>
    <w:basedOn w:val="25"/>
    <w:link w:val="10"/>
    <w:autoRedefine/>
    <w:qFormat/>
    <w:uiPriority w:val="0"/>
    <w:rPr>
      <w:rFonts w:ascii="Arial" w:hAnsi="Arial" w:eastAsia="黑体" w:cs="Times New Roman"/>
      <w:b/>
      <w:bCs/>
      <w:kern w:val="0"/>
      <w:sz w:val="24"/>
      <w:szCs w:val="24"/>
      <w:lang w:eastAsia="en-US"/>
    </w:rPr>
  </w:style>
  <w:style w:type="character" w:customStyle="1" w:styleId="42">
    <w:name w:val="标题 7 字符"/>
    <w:basedOn w:val="25"/>
    <w:link w:val="11"/>
    <w:autoRedefine/>
    <w:qFormat/>
    <w:uiPriority w:val="0"/>
    <w:rPr>
      <w:rFonts w:ascii="Times New Roman" w:hAnsi="Times New Roman" w:eastAsia="Times New Roman" w:cs="Times New Roman"/>
      <w:b/>
      <w:bCs/>
      <w:kern w:val="0"/>
      <w:sz w:val="24"/>
      <w:szCs w:val="24"/>
      <w:lang w:eastAsia="en-US"/>
    </w:rPr>
  </w:style>
  <w:style w:type="character" w:customStyle="1" w:styleId="43">
    <w:name w:val="标题 8 字符"/>
    <w:basedOn w:val="25"/>
    <w:link w:val="12"/>
    <w:autoRedefine/>
    <w:qFormat/>
    <w:uiPriority w:val="0"/>
    <w:rPr>
      <w:rFonts w:ascii="Arial" w:hAnsi="Arial" w:eastAsia="黑体" w:cs="Times New Roman"/>
      <w:kern w:val="0"/>
      <w:sz w:val="24"/>
      <w:szCs w:val="24"/>
      <w:lang w:eastAsia="en-US"/>
    </w:rPr>
  </w:style>
  <w:style w:type="character" w:customStyle="1" w:styleId="44">
    <w:name w:val="标题 9 字符"/>
    <w:basedOn w:val="25"/>
    <w:link w:val="13"/>
    <w:autoRedefine/>
    <w:qFormat/>
    <w:uiPriority w:val="0"/>
    <w:rPr>
      <w:rFonts w:ascii="Arial" w:hAnsi="Arial" w:eastAsia="黑体" w:cs="Times New Roman"/>
      <w:kern w:val="0"/>
      <w:szCs w:val="21"/>
      <w:lang w:eastAsia="en-US"/>
    </w:rPr>
  </w:style>
  <w:style w:type="paragraph" w:customStyle="1" w:styleId="45">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6">
    <w:name w:val="B1"/>
    <w:basedOn w:val="17"/>
    <w:autoRedefine/>
    <w:qFormat/>
    <w:uiPriority w:val="0"/>
    <w:pPr>
      <w:ind w:left="568" w:hanging="284"/>
    </w:pPr>
  </w:style>
  <w:style w:type="paragraph" w:customStyle="1" w:styleId="47">
    <w:name w:val="NO"/>
    <w:basedOn w:val="1"/>
    <w:autoRedefine/>
    <w:qFormat/>
    <w:uiPriority w:val="0"/>
    <w:pPr>
      <w:keepLines/>
      <w:ind w:left="1135" w:hanging="851"/>
    </w:pPr>
  </w:style>
  <w:style w:type="character" w:customStyle="1" w:styleId="48">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49">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50">
    <w:name w:val="批注文字 字符"/>
    <w:basedOn w:val="25"/>
    <w:link w:val="15"/>
    <w:semiHidden/>
    <w:qFormat/>
    <w:uiPriority w:val="99"/>
    <w:rPr>
      <w:rFonts w:asciiTheme="minorHAnsi" w:hAnsiTheme="minorHAnsi" w:eastAsiaTheme="minorEastAsia" w:cstheme="minorBidi"/>
      <w:kern w:val="2"/>
      <w:sz w:val="21"/>
      <w:szCs w:val="22"/>
    </w:rPr>
  </w:style>
  <w:style w:type="character" w:customStyle="1" w:styleId="51">
    <w:name w:val="批注主题 字符"/>
    <w:basedOn w:val="50"/>
    <w:link w:val="22"/>
    <w:semiHidden/>
    <w:qFormat/>
    <w:uiPriority w:val="99"/>
    <w:rPr>
      <w:rFonts w:asciiTheme="minorHAnsi" w:hAnsiTheme="minorHAnsi" w:eastAsiaTheme="minorEastAsia" w:cstheme="minorBidi"/>
      <w:b/>
      <w:bCs/>
      <w:kern w:val="2"/>
      <w:sz w:val="21"/>
      <w:szCs w:val="22"/>
    </w:rPr>
  </w:style>
  <w:style w:type="character" w:customStyle="1" w:styleId="52">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4">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5">
    <w:name w:val="Comments"/>
    <w:basedOn w:val="1"/>
    <w:qFormat/>
    <w:uiPriority w:val="0"/>
    <w:rPr>
      <w:i/>
      <w:sz w:val="18"/>
    </w:rPr>
  </w:style>
  <w:style w:type="paragraph" w:customStyle="1" w:styleId="56">
    <w:name w:val="Agreement"/>
    <w:basedOn w:val="1"/>
    <w:next w:val="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7">
    <w:name w:val="B2"/>
    <w:basedOn w:val="16"/>
    <w:qFormat/>
    <w:uiPriority w:val="0"/>
    <w:pPr>
      <w:ind w:left="851" w:hanging="284"/>
    </w:pPr>
  </w:style>
  <w:style w:type="paragraph" w:customStyle="1" w:styleId="58">
    <w:name w:val="Guidance"/>
    <w:basedOn w:val="1"/>
    <w:qFormat/>
    <w:uiPriority w:val="0"/>
    <w:pPr>
      <w:textAlignment w:val="auto"/>
    </w:pPr>
    <w:rPr>
      <w:rFonts w:eastAsia="Times New Roman"/>
      <w:i/>
      <w:color w:val="000000"/>
      <w:lang w:eastAsia="ja-JP"/>
    </w:rPr>
  </w:style>
  <w:style w:type="paragraph" w:customStyle="1" w:styleId="59">
    <w:name w:val="CR Cover Page"/>
    <w:qFormat/>
    <w:uiPriority w:val="0"/>
    <w:pPr>
      <w:spacing w:after="120"/>
    </w:pPr>
    <w:rPr>
      <w:rFonts w:ascii="Arial" w:hAnsi="Arial" w:eastAsia="宋体" w:cs="Times New Roman"/>
      <w:lang w:val="en-GB" w:eastAsia="en-US" w:bidi="ar-SA"/>
    </w:rPr>
  </w:style>
  <w:style w:type="paragraph" w:customStyle="1" w:styleId="60">
    <w:name w:val="TH"/>
    <w:basedOn w:val="1"/>
    <w:autoRedefine/>
    <w:qFormat/>
    <w:uiPriority w:val="0"/>
    <w:pPr>
      <w:keepNext/>
      <w:keepLines/>
      <w:spacing w:before="60"/>
      <w:jc w:val="center"/>
    </w:pPr>
    <w:rPr>
      <w:rFonts w:ascii="Arial" w:hAnsi="Arial"/>
      <w:b/>
    </w:rPr>
  </w:style>
  <w:style w:type="paragraph" w:customStyle="1" w:styleId="61">
    <w:name w:val="TF"/>
    <w:basedOn w:val="60"/>
    <w:autoRedefine/>
    <w:qFormat/>
    <w:uiPriority w:val="0"/>
    <w:pPr>
      <w:keepNext w:val="0"/>
      <w:spacing w:before="0" w:after="240"/>
    </w:pPr>
  </w:style>
  <w:style w:type="paragraph" w:customStyle="1" w:styleId="62">
    <w:name w:val="First Paragraph"/>
    <w:basedOn w:val="6"/>
    <w:next w:val="6"/>
    <w:qFormat/>
    <w:uiPriority w:val="0"/>
  </w:style>
  <w:style w:type="paragraph" w:customStyle="1" w:styleId="63">
    <w:name w:val="Compact"/>
    <w:basedOn w:val="6"/>
    <w:qFormat/>
    <w:uiPriority w:val="0"/>
    <w:pPr>
      <w:spacing w:before="36" w:after="36"/>
    </w:pPr>
  </w:style>
  <w:style w:type="paragraph" w:customStyle="1" w:styleId="64">
    <w:name w:val="Source Code"/>
    <w:basedOn w:val="1"/>
    <w:link w:val="65"/>
    <w:qFormat/>
    <w:uiPriority w:val="0"/>
    <w:pPr>
      <w:wordWrap w:val="0"/>
    </w:pPr>
  </w:style>
  <w:style w:type="character" w:customStyle="1" w:styleId="65">
    <w:name w:val="Verbatim Char"/>
    <w:basedOn w:val="28"/>
    <w:link w:val="6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1173</Words>
  <Characters>6343</Characters>
  <Lines>84</Lines>
  <Paragraphs>23</Paragraphs>
  <TotalTime>18</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2022-03-22T18:40:00Z</dcterms:created>
  <dc:creator>tcl</dc:creator>
  <cp:lastModifiedBy>TCL</cp:lastModifiedBy>
  <dcterms:modified xsi:type="dcterms:W3CDTF">2025-11-06T15:17:56Z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3EFDFA4066BF1201A44B0C69442D507E_43</vt:lpwstr>
  </property>
</Properties>
</file>